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440101-2024-20589</w:t>
      </w:r>
    </w:p>
    <w:p>
      <w:pPr>
        <w:pStyle w:val="null3"/>
        <w:jc w:val="center"/>
        <w:outlineLvl w:val="3"/>
      </w:pPr>
      <w:r>
        <w:rPr>
          <w:sz w:val="24"/>
          <w:b/>
        </w:rPr>
        <w:t>采购项目编号：</w:t>
      </w:r>
      <w:r>
        <w:rPr>
          <w:sz w:val="24"/>
          <w:b/>
        </w:rPr>
        <w:t>3587-2412GZG30701</w:t>
      </w:r>
    </w:p>
    <w:p>
      <w:pPr>
        <w:pStyle w:val="null3"/>
        <w:jc w:val="center"/>
        <w:outlineLvl w:val="3"/>
      </w:pPr>
      <w:r>
        <w:rPr>
          <w:sz w:val="24"/>
          <w:b/>
        </w:rPr>
        <w:t>项目名称：</w:t>
      </w:r>
      <w:r>
        <w:rPr>
          <w:sz w:val="24"/>
          <w:b/>
        </w:rPr>
        <w:t>广医大2024年公共卫生学院蛋白组学检测服务采购项目</w:t>
      </w:r>
    </w:p>
    <w:p>
      <w:pPr>
        <w:pStyle w:val="null3"/>
        <w:jc w:val="center"/>
        <w:outlineLvl w:val="3"/>
      </w:pPr>
      <w:r>
        <w:rPr>
          <w:sz w:val="24"/>
          <w:b/>
        </w:rPr>
        <w:t>采购人：</w:t>
      </w:r>
      <w:r>
        <w:rPr>
          <w:sz w:val="24"/>
          <w:b/>
        </w:rPr>
        <w:t>广州医科大学</w:t>
      </w:r>
    </w:p>
    <w:p>
      <w:pPr>
        <w:pStyle w:val="null3"/>
        <w:jc w:val="center"/>
        <w:outlineLvl w:val="3"/>
      </w:pPr>
      <w:r>
        <w:rPr>
          <w:sz w:val="24"/>
          <w:b/>
        </w:rPr>
        <w:t>采购代理机构：</w:t>
      </w:r>
      <w:r>
        <w:rPr>
          <w:sz w:val="24"/>
          <w:b/>
        </w:rPr>
        <w:t>广东信诚招标代理咨询有限公司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广东信诚招标代理咨询有限公司</w:t>
      </w:r>
      <w:r>
        <w:rPr/>
        <w:t>受</w:t>
      </w:r>
      <w:r>
        <w:rPr/>
        <w:t>广州医科大学</w:t>
      </w:r>
      <w:r>
        <w:rPr/>
        <w:t>的委托，采用</w:t>
      </w:r>
      <w:r>
        <w:rPr/>
        <w:t>公开招标</w:t>
      </w:r>
      <w:r>
        <w:rPr/>
        <w:t>方式组织采购</w:t>
      </w:r>
      <w:r>
        <w:rPr/>
        <w:t>广医大2024年公共卫生学院蛋白组学检测服务采购项目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广医大2024年公共卫生学院蛋白组学检测服务采购项目</w:t>
      </w:r>
    </w:p>
    <w:p>
      <w:pPr>
        <w:pStyle w:val="null3"/>
        <w:ind w:firstLine="480"/>
      </w:pPr>
      <w:r>
        <w:rPr/>
        <w:t>采购计划编号：</w:t>
      </w:r>
      <w:r>
        <w:rPr/>
        <w:t>440101-2024-20589</w:t>
      </w:r>
    </w:p>
    <w:p>
      <w:pPr>
        <w:pStyle w:val="null3"/>
        <w:ind w:firstLine="480"/>
      </w:pPr>
      <w:r>
        <w:rPr/>
        <w:t>采购项目编号：</w:t>
      </w:r>
      <w:r>
        <w:rPr/>
        <w:t>3587-2412GZG30701</w:t>
      </w:r>
    </w:p>
    <w:p>
      <w:pPr>
        <w:pStyle w:val="null3"/>
        <w:ind w:firstLine="480"/>
      </w:pPr>
      <w:r>
        <w:rPr/>
        <w:t>采购方式：</w:t>
      </w:r>
      <w:r>
        <w:rPr/>
        <w:t>公开招标</w:t>
      </w:r>
    </w:p>
    <w:p>
      <w:pPr>
        <w:pStyle w:val="null3"/>
        <w:ind w:firstLine="480"/>
      </w:pPr>
      <w:r>
        <w:rPr/>
        <w:t>预算金额：</w:t>
      </w:r>
      <w:r>
        <w:rPr/>
        <w:t>1,600,000.00</w:t>
      </w:r>
      <w:r>
        <w:rPr/>
        <w:t>元</w:t>
      </w:r>
    </w:p>
    <w:p>
      <w:pPr>
        <w:pStyle w:val="null3"/>
        <w:outlineLvl w:val="3"/>
      </w:pPr>
      <w:r>
        <w:rPr>
          <w:sz w:val="24"/>
          <w:b/>
        </w:rPr>
        <w:t>2.项目内容及需求情况（采购项目技术规格、参数及要求）</w:t>
      </w:r>
    </w:p>
    <w:p>
      <w:pPr>
        <w:pStyle w:val="null3"/>
      </w:pPr>
      <w:r>
        <w:rPr/>
        <w:t>采购包1(广医大2024年公共卫生学院蛋白组学检测服务采购项目):</w:t>
      </w:r>
    </w:p>
    <w:p>
      <w:pPr>
        <w:pStyle w:val="null3"/>
      </w:pPr>
      <w:r>
        <w:rPr/>
        <w:t>采购包预算金额：1,600,000.00元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技术测试和分析服务</w:t>
            </w:r>
          </w:p>
        </w:tc>
        <w:tc>
          <w:tcPr>
            <w:tcW w:type="dxa" w:w="2052"/>
          </w:tcPr>
          <w:p>
            <w:pPr>
              <w:pStyle w:val="null3"/>
            </w:pPr>
            <w:r>
              <w:rPr/>
              <w:t>Olink蛋白质组检测服务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1,600,000.00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合同履行期限：自合同签订之日起总期限1年，到期或实际送检样本总数达200个即项目完毕。</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2）有依法缴纳税收和社会保障资金的良好记录：提供书面声明（格式自定）或相关证明材料；若已对接“粤省事”、“粤商通”、“粤信签”等系统的，可提供书面声明函（格式自拟）；</w:t>
      </w:r>
    </w:p>
    <w:p>
      <w:pPr>
        <w:pStyle w:val="null3"/>
      </w:pPr>
      <w:r>
        <w:rPr/>
        <w:t>3）具有良好的商业信誉和健全的财务会计制度：提供书面声明（格式自定）或相关证明材料；若已对接“粤省事”、“粤商通”、“粤信签”等系统的，可提供书面声明函（格式自拟）；</w:t>
      </w:r>
    </w:p>
    <w:p>
      <w:pPr>
        <w:pStyle w:val="null3"/>
      </w:pPr>
      <w:r>
        <w:rPr/>
        <w:t>4）履行合同所必需的设备和专业技术能力：提供书面声明（格式自定）或相关证明材料；</w:t>
      </w:r>
    </w:p>
    <w:p>
      <w:pPr>
        <w:pStyle w:val="null3"/>
      </w:pPr>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6）法律、行政法规规定的其他条件：按投标函相关承诺要求内容。</w:t>
      </w:r>
    </w:p>
    <w:p>
      <w:pPr>
        <w:pStyle w:val="null3"/>
        <w:outlineLvl w:val="3"/>
      </w:pPr>
      <w:r>
        <w:rPr>
          <w:sz w:val="24"/>
          <w:b/>
        </w:rPr>
        <w:t>2.落实政府采购政策需满足的资格要求：</w:t>
      </w:r>
    </w:p>
    <w:p>
      <w:pPr>
        <w:pStyle w:val="null3"/>
        <w:jc w:val="left"/>
      </w:pPr>
      <w:r>
        <w:rPr/>
        <w:t>采购包1（广医大2024年公共卫生学院蛋白组学检测服务采购项目）：</w:t>
      </w:r>
      <w:r>
        <w:rPr/>
        <w:t>本采购包属于专门面向中小企业采购的项目，中小企业以供应商填写的《中小企业声明函》（见投标文件格式）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其他未列明行业。</w:t>
      </w:r>
    </w:p>
    <w:p>
      <w:pPr>
        <w:pStyle w:val="null3"/>
        <w:outlineLvl w:val="3"/>
      </w:pPr>
      <w:r>
        <w:rPr>
          <w:sz w:val="24"/>
          <w:b/>
        </w:rPr>
        <w:t>3.本项目特定的资格要求：</w:t>
      </w:r>
    </w:p>
    <w:p>
      <w:pPr>
        <w:pStyle w:val="null3"/>
      </w:pPr>
      <w:r>
        <w:rPr/>
        <w:t>采购包1（广医大2024年公共卫生学院蛋白组学检测服务采购项目）：</w:t>
      </w:r>
    </w:p>
    <w:p>
      <w:pPr>
        <w:pStyle w:val="null3"/>
      </w:pPr>
      <w:r>
        <w:rPr/>
        <w:t>1)供应商未被列入“信用中国”网站(www.creditchina.gov.cn)以下任何记录名单之一：①失信被执行人；②重大税收违法失信主体。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需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3)本采购包不接受联合体投标。提供书面声明（格式自定）。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，中国采购与招标网（http://www.chinabidding.com.cn），中国财经报网 （http://www.cfen.com.cn/），广东信诚招标代理咨询有限公司(http://www.gdxczb.cn/)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广州医科大学</w:t>
      </w:r>
    </w:p>
    <w:p>
      <w:pPr>
        <w:pStyle w:val="null3"/>
        <w:ind w:firstLine="480"/>
      </w:pPr>
      <w:r>
        <w:rPr/>
        <w:t xml:space="preserve"> 地址：</w:t>
      </w:r>
      <w:r>
        <w:rPr/>
        <w:t>广州市番禺区新造镇广州医科大学</w:t>
      </w:r>
    </w:p>
    <w:p>
      <w:pPr>
        <w:pStyle w:val="null3"/>
        <w:ind w:firstLine="480"/>
      </w:pPr>
      <w:r>
        <w:rPr/>
        <w:t xml:space="preserve"> 联系方式：</w:t>
      </w:r>
      <w:r>
        <w:rPr/>
        <w:t>020-37103132</w:t>
      </w:r>
    </w:p>
    <w:p>
      <w:pPr>
        <w:pStyle w:val="null3"/>
        <w:outlineLvl w:val="3"/>
      </w:pPr>
      <w:r>
        <w:rPr>
          <w:sz w:val="24"/>
          <w:b/>
        </w:rPr>
        <w:t xml:space="preserve"> 2.采购代理机构信息</w:t>
      </w:r>
    </w:p>
    <w:p>
      <w:pPr>
        <w:pStyle w:val="null3"/>
        <w:ind w:firstLine="480"/>
      </w:pPr>
      <w:r>
        <w:rPr/>
        <w:t xml:space="preserve"> 名称：</w:t>
      </w:r>
      <w:r>
        <w:rPr/>
        <w:t>广东信诚招标代理咨询有限公司</w:t>
      </w:r>
    </w:p>
    <w:p>
      <w:pPr>
        <w:pStyle w:val="null3"/>
        <w:ind w:firstLine="480"/>
      </w:pPr>
      <w:r>
        <w:rPr/>
        <w:t xml:space="preserve"> 地址：</w:t>
      </w:r>
      <w:r>
        <w:rPr/>
        <w:t>广州市越秀区德政北路538号17楼1708</w:t>
      </w:r>
    </w:p>
    <w:p>
      <w:pPr>
        <w:pStyle w:val="null3"/>
        <w:ind w:firstLine="480"/>
      </w:pPr>
      <w:r>
        <w:rPr/>
        <w:t xml:space="preserve"> 联系方式：</w:t>
      </w:r>
      <w:r>
        <w:rPr/>
        <w:t>020-83224833</w:t>
      </w:r>
    </w:p>
    <w:p>
      <w:pPr>
        <w:pStyle w:val="null3"/>
        <w:outlineLvl w:val="3"/>
      </w:pPr>
      <w:r>
        <w:rPr>
          <w:sz w:val="24"/>
          <w:b/>
        </w:rPr>
        <w:t xml:space="preserve"> 3.项目联系方式</w:t>
      </w:r>
    </w:p>
    <w:p>
      <w:pPr>
        <w:pStyle w:val="null3"/>
        <w:ind w:firstLine="480"/>
      </w:pPr>
      <w:r>
        <w:rPr/>
        <w:t xml:space="preserve"> 项目联系人：</w:t>
      </w:r>
      <w:r>
        <w:rPr/>
        <w:t>石工</w:t>
      </w:r>
    </w:p>
    <w:p>
      <w:pPr>
        <w:pStyle w:val="null3"/>
        <w:ind w:firstLine="480"/>
      </w:pPr>
      <w:r>
        <w:rPr/>
        <w:t xml:space="preserve"> 电话：</w:t>
      </w:r>
      <w:r>
        <w:rPr/>
        <w:t>020-83224833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（一）简要采购内容：</w:t>
      </w:r>
    </w:p>
    <w:tbl>
      <w:tblPr>
        <w:tblW w:w="0" w:type="auto"/>
        <w:tblBorders>
          <w:top w:val="none" w:color="000000" w:sz="4"/>
          <w:left w:val="none" w:color="000000" w:sz="4"/>
          <w:bottom w:val="none" w:color="000000" w:sz="4"/>
          <w:right w:val="none" w:color="000000" w:sz="4"/>
          <w:insideH w:val="none"/>
          <w:insideV w:val="none"/>
        </w:tblBorders>
      </w:tblPr>
      <w:tblGrid>
        <w:gridCol w:w="872"/>
        <w:gridCol w:w="2734"/>
        <w:gridCol w:w="1294"/>
        <w:gridCol w:w="1600"/>
        <w:gridCol w:w="1774"/>
      </w:tblGrid>
      <w:tr>
        <w:tc>
          <w:tcPr>
            <w:tcW w:type="dxa" w:w="872"/>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序号</w:t>
            </w:r>
          </w:p>
        </w:tc>
        <w:tc>
          <w:tcPr>
            <w:tcW w:type="dxa" w:w="2734"/>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标的名称</w:t>
            </w:r>
          </w:p>
        </w:tc>
        <w:tc>
          <w:tcPr>
            <w:tcW w:type="dxa" w:w="1294"/>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数量</w:t>
            </w:r>
          </w:p>
        </w:tc>
        <w:tc>
          <w:tcPr>
            <w:tcW w:type="dxa" w:w="1600"/>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计量单位</w:t>
            </w:r>
          </w:p>
        </w:tc>
        <w:tc>
          <w:tcPr>
            <w:tcW w:type="dxa" w:w="1774"/>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样本检测</w:t>
            </w:r>
            <w:r>
              <w:rPr>
                <w:sz w:val="21"/>
                <w:b/>
              </w:rPr>
              <w:t>单项最高限价</w:t>
            </w:r>
            <w:r>
              <w:rPr>
                <w:sz w:val="21"/>
                <w:b/>
              </w:rPr>
              <w:t>(元</w:t>
            </w:r>
            <w:r>
              <w:rPr>
                <w:sz w:val="21"/>
                <w:b/>
              </w:rPr>
              <w:t>/个</w:t>
            </w:r>
            <w:r>
              <w:rPr>
                <w:sz w:val="21"/>
                <w:b/>
              </w:rPr>
              <w:t>)</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Olink蛋白质组检测</w:t>
            </w:r>
            <w:r>
              <w:rPr>
                <w:sz w:val="21"/>
              </w:rPr>
              <w:t>服务</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8,000.00</w:t>
            </w:r>
          </w:p>
        </w:tc>
      </w:tr>
    </w:tbl>
    <w:p>
      <w:pPr>
        <w:pStyle w:val="null3"/>
        <w:ind w:firstLine="482"/>
        <w:jc w:val="both"/>
      </w:pPr>
      <w:r>
        <w:rPr>
          <w:sz w:val="24"/>
          <w:b/>
        </w:rPr>
        <w:t>（二）采购项目说明</w:t>
      </w:r>
    </w:p>
    <w:p>
      <w:pPr>
        <w:pStyle w:val="null3"/>
        <w:ind w:firstLine="480"/>
        <w:jc w:val="both"/>
      </w:pPr>
      <w:r>
        <w:rPr>
          <w:sz w:val="24"/>
        </w:rPr>
        <w:t>1.详细招标要求及需求请参阅招标文件中采购项目内容。</w:t>
      </w:r>
    </w:p>
    <w:p>
      <w:pPr>
        <w:pStyle w:val="null3"/>
        <w:ind w:firstLine="480"/>
        <w:jc w:val="both"/>
      </w:pPr>
      <w:r>
        <w:rPr>
          <w:sz w:val="24"/>
        </w:rPr>
        <w:t>2.投标人必须对所投采购包全部内容进行投标，不允许只对所投采购包其中部分内容进行投标。如有缺漏的，将导致投标无效。</w:t>
      </w:r>
    </w:p>
    <w:p>
      <w:pPr>
        <w:pStyle w:val="null3"/>
        <w:ind w:firstLine="480"/>
        <w:jc w:val="both"/>
      </w:pPr>
      <w:r>
        <w:rPr>
          <w:sz w:val="24"/>
        </w:rPr>
        <w:t>3.需要落实的政府采购政策：《政府采购促进中小企业发展实施办法》（财库〔2020〕46号）、《关于政府采购支持监狱企业发展有关问题的通知》(财库〔2014〕68号)、《关于促进残疾人就业政府采购政策的通知》（财库〔2017〕141号)等。</w:t>
      </w:r>
    </w:p>
    <w:p>
      <w:pPr>
        <w:pStyle w:val="null3"/>
      </w:pPr>
      <w:r>
        <w:rPr/>
        <w:t>采购包1（广医大2024年公共卫生学院蛋白组学检测服务采购项目）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★自合同签订之日起总期限1年，到期或实际送检样本总数达200个即项目完毕。</w:t>
            </w:r>
          </w:p>
        </w:tc>
      </w:tr>
      <w:tr>
        <w:tc>
          <w:tcPr>
            <w:tcW w:type="dxa" w:w="4153"/>
          </w:tcPr>
          <w:p>
            <w:pPr>
              <w:pStyle w:val="null3"/>
            </w:pPr>
            <w:r>
              <w:rPr/>
              <w:t>标的提供的地点</w:t>
            </w:r>
          </w:p>
        </w:tc>
        <w:tc>
          <w:tcPr>
            <w:tcW w:type="dxa" w:w="4153"/>
          </w:tcPr>
          <w:p>
            <w:pPr>
              <w:pStyle w:val="null3"/>
            </w:pPr>
            <w:r>
              <w:rPr/>
              <w:t>中标单位实验室。</w:t>
            </w:r>
          </w:p>
        </w:tc>
      </w:tr>
      <w:tr>
        <w:tc>
          <w:tcPr>
            <w:tcW w:type="dxa" w:w="4153"/>
          </w:tcPr>
          <w:p>
            <w:pPr>
              <w:pStyle w:val="null3"/>
            </w:pPr>
            <w:r>
              <w:rPr/>
              <w:t>付款方式</w:t>
            </w:r>
          </w:p>
        </w:tc>
        <w:tc>
          <w:tcPr>
            <w:tcW w:type="dxa" w:w="4153"/>
          </w:tcPr>
          <w:p>
            <w:pPr>
              <w:pStyle w:val="null3"/>
            </w:pPr>
            <w:r>
              <w:rPr/>
              <w:t>1期：支付比例100%,★1.本项目合同的款项以人民币支付，支付的时间和金额如下： 项目完成后10个工作日内一次性支付。 ★2.付款要求： （1）中标人须凭合法等额有效的依法纳税的发票向采购人申请结算，否则采购人有权相应延缓付款时间并无须承担逾期付款责任。 （2）收款方、出具发票方均必须与中标人一致。 ★3.鉴于采购人使用的是财政资金，如遇上级财政部门结算原因导致采购人延迟付款的，不视为采购人违约。采购人向上级财政部门提出结算支付申请手续的时间即为上述资金支付时间，在约定时间内提出的即视为采购人已按期支付。</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1期：1.按照技术、服务、安全标准组织对中标人履约情况进行验收（根据项目实际情况做具体要求）。 2.检测服务应符合本项目具体技术（参数）要求的“数据验收标准”。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其他，一、报价要求 1.1 本项目的报价和结算支付均以人民币为货币单位。 1.2 本项目据实结算。 ★1.3 投标报价为一个固定单价，不得超过本项目规定的单价最高限价，应涵盖包括服务所需的设备、试剂、耗材、标本接收、运输、检测、报告、售后服务、人力成本、保险、各种税费以及项目实施过程中的应预见和不可预见费用等完成本项目规定责任和义务、达到合同目的之一切费用。 1.4.本项目服务期间实际送检结算总金额不超过本项目预算金额，即人民币1,600,000.00元（大写：壹佰陆拾万元整）。 1.5 投标人必须对本项目全部内容进行投标，不允许只对其中部分内容进行投标。 1.6 投标人应被认为在填报投标报价之前，已经仔细阅读了本招标文件的所有有关章节以及审查了所有相关资料，已确保本次招标的所有招标范围内的各种价格风险均已包含在投标报价内。开标后，任何因投标人的疏漏而提出的不利于采购人的另行支付与本项目相关的任何费用的申请将不被接受。 二、采购项目培训及售后服务要求： 2.1 中标人可以根据采购人需求提供优质的售后服务，及时响应并解决整个项目过程出现的问题；设有客服专线电话，处理相关的日常咨询及售后服务工作；具有完善管理制度和服务流程以保障上门服务及时有效性，并定期选派专业技术人员提供售后服务。 2.2 中标人提供Olink技术原理、实验流程、分析软件使用等相关培训。 ★三、违约与处罚 3.1中标人未按照合同或订单约定按期完成工作成果的，每延误一日，须向采购人支付延期交付部分服务相应金额万分之五的违约金。若中标人逾期超过30日仍未完成上述工作的，则采购人有权单方面解除本项目合同或订单，并有权要求中标人承担因此给采购人造成的直接经济损失。 3.2 因中标人自身的原因丢失或损坏、污染采购人提供的技术资料、技术数据、文件和其它物品的，中标人负责重做的所有费用。 3.3 中标人不履行保密义务，应承担由此而造成的一切直接损失。 3.4 其它违约责任按《中华人民共和国民法典》处理。 四、其他说明： 4.1 根据《广州市政府采购文件编制指导意见（2021年修订）》，第二中标候选人报价高于第一中标候选人报价20 %以上的，只推荐1名中标候选人。（本 项目适用见“第四章评标”的“6.定标”） 4.2 响应且遵守《广州医科大学采购招标廉洁协议》的各项条款。（具体见第五章合同文本附件） 备注：本表内“★”号条款为实质性条款，若有任何一条负偏离或不满足则导致投标（响应）无效。</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技术测试和分析服务</w:t>
            </w:r>
          </w:p>
        </w:tc>
        <w:tc>
          <w:tcPr>
            <w:tcW w:type="dxa" w:w="933"/>
          </w:tcPr>
          <w:p>
            <w:pPr>
              <w:pStyle w:val="null3"/>
              <w:jc w:val="left"/>
            </w:pPr>
            <w:r>
              <w:rPr/>
              <w:t>Olink蛋白质组检测服务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1,600,000.00</w:t>
            </w:r>
          </w:p>
        </w:tc>
        <w:tc>
          <w:tcPr>
            <w:tcW w:type="dxa" w:w="933"/>
          </w:tcPr>
          <w:p>
            <w:pPr>
              <w:pStyle w:val="null3"/>
              <w:jc w:val="right"/>
            </w:pPr>
            <w:r>
              <w:rPr/>
              <w:t>1,600,000.00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Olink蛋白质组检测服务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一、服务要求</w:t>
            </w:r>
          </w:p>
          <w:p>
            <w:pPr>
              <w:pStyle w:val="null3"/>
              <w:ind w:left="285"/>
              <w:jc w:val="left"/>
            </w:pPr>
            <w:r>
              <w:rPr>
                <w:sz w:val="21"/>
              </w:rPr>
              <w:t>▲</w:t>
            </w:r>
            <w:r>
              <w:rPr>
                <w:sz w:val="21"/>
                <w:b/>
              </w:rPr>
              <w:t>（一）采购标的需执行的国家相关标准、行业标准、地方标准或者其他标准、规范</w:t>
            </w:r>
            <w:r>
              <w:rPr>
                <w:sz w:val="21"/>
                <w:b/>
              </w:rPr>
              <w:t>：</w:t>
            </w:r>
          </w:p>
          <w:p>
            <w:pPr>
              <w:pStyle w:val="null3"/>
              <w:ind w:left="285"/>
              <w:jc w:val="left"/>
            </w:pPr>
            <w:r>
              <w:rPr>
                <w:sz w:val="21"/>
              </w:rPr>
              <w:t>检测实验室获得</w:t>
            </w:r>
            <w:r>
              <w:rPr>
                <w:sz w:val="21"/>
              </w:rPr>
              <w:t>CLIA、CAP、ISO15189和ISO27001认证，需提供认证证书复印件或扫描件并加盖投标人公章。</w:t>
            </w:r>
          </w:p>
          <w:p>
            <w:pPr>
              <w:pStyle w:val="null3"/>
              <w:spacing w:before="150"/>
              <w:ind w:left="285"/>
              <w:jc w:val="left"/>
            </w:pPr>
            <w:r>
              <w:rPr>
                <w:sz w:val="21"/>
                <w:b/>
              </w:rPr>
              <w:t>（二）采购标的需实现的功能目标</w:t>
            </w:r>
            <w:r>
              <w:rPr>
                <w:sz w:val="21"/>
                <w:b/>
              </w:rPr>
              <w:t>：</w:t>
            </w:r>
          </w:p>
          <w:p>
            <w:pPr>
              <w:pStyle w:val="null3"/>
              <w:spacing w:before="150"/>
              <w:ind w:left="285" w:firstLine="420"/>
              <w:jc w:val="left"/>
            </w:pPr>
            <w:r>
              <w:rPr>
                <w:sz w:val="21"/>
              </w:rPr>
              <w:t>基于前瞻性队列研究设计，以大型队列的生物样本为基础，通过高通量蛋白质测序技术定性和定量检测研究人群基线外周血的蛋白质表达，从中筛选出能够预测肺癌发生风险的生物标志物。这需要在有限的生物样本资源中更多的检测蛋白质及其代谢物，而目前</w:t>
            </w:r>
            <w:r>
              <w:rPr>
                <w:sz w:val="21"/>
              </w:rPr>
              <w:t>国际前沿的</w:t>
            </w:r>
            <w:r>
              <w:rPr>
                <w:sz w:val="21"/>
              </w:rPr>
              <w:t>PEA技术（Proximity Extension Assay，邻位延伸分析技术）为此目标提供了支撑，这是项目开展的关键环节，也是迫切需要的技术平台。</w:t>
            </w:r>
          </w:p>
          <w:p>
            <w:pPr>
              <w:pStyle w:val="null3"/>
              <w:spacing w:before="150"/>
              <w:ind w:left="285"/>
              <w:jc w:val="left"/>
            </w:pPr>
            <w:r>
              <w:rPr>
                <w:sz w:val="21"/>
                <w:b/>
              </w:rPr>
              <w:t>（三）采购标的的具体要求</w:t>
            </w:r>
            <w:r>
              <w:rPr>
                <w:sz w:val="21"/>
                <w:b/>
              </w:rPr>
              <w:t>：</w:t>
            </w:r>
          </w:p>
          <w:p>
            <w:pPr>
              <w:pStyle w:val="null3"/>
              <w:ind w:left="285"/>
              <w:jc w:val="left"/>
            </w:pPr>
            <w:r>
              <w:rPr>
                <w:sz w:val="21"/>
              </w:rPr>
              <w:t>1、样本类型</w:t>
            </w:r>
          </w:p>
          <w:p>
            <w:pPr>
              <w:pStyle w:val="null3"/>
              <w:ind w:left="285"/>
              <w:jc w:val="left"/>
            </w:pPr>
            <w:r>
              <w:rPr>
                <w:sz w:val="21"/>
              </w:rPr>
              <w:t xml:space="preserve">    </w:t>
            </w:r>
            <w:r>
              <w:rPr>
                <w:sz w:val="21"/>
              </w:rPr>
              <w:t>能够满足血清、血浆、房水、脑脊液、胸水、尿液、组织细胞裂解液和穿刺液等各种生物样本；总量大于</w:t>
            </w:r>
            <w:r>
              <w:rPr>
                <w:sz w:val="21"/>
              </w:rPr>
              <w:t>50uL，并进行质量检测，若质控不合格，需通过电话或者紧急邮件的形式通知采购方补送样本进行重新质检。</w:t>
            </w:r>
          </w:p>
          <w:p>
            <w:pPr>
              <w:pStyle w:val="null3"/>
              <w:ind w:left="285"/>
              <w:jc w:val="left"/>
            </w:pPr>
            <w:r>
              <w:rPr>
                <w:sz w:val="21"/>
              </w:rPr>
              <w:t>★</w:t>
            </w:r>
            <w:r>
              <w:rPr>
                <w:sz w:val="21"/>
              </w:rPr>
              <w:t>2、实验方法</w:t>
            </w:r>
          </w:p>
          <w:p>
            <w:pPr>
              <w:pStyle w:val="null3"/>
              <w:ind w:left="285" w:firstLine="420"/>
              <w:jc w:val="left"/>
            </w:pPr>
            <w:r>
              <w:rPr>
                <w:sz w:val="21"/>
              </w:rPr>
              <w:t>利用</w:t>
            </w:r>
            <w:r>
              <w:rPr>
                <w:sz w:val="21"/>
              </w:rPr>
              <w:t>Olink核心专利技术PEA技术进行蛋白质检测，每个样本一次可检5000余种蛋白，利用自动化操作平台（Dragonfly、Mosquito和Eppendorf epMotion5075t）进行文库构建，Qubit仪器测定浓度，并用Agilent 4200 Bioanalyzer测定片段浓度及长度，然后利用Illumina NovaSeq 6000测序仪进行文库测序，并使用NPX Manager software软件对下机数据进行分析。</w:t>
            </w:r>
          </w:p>
          <w:p>
            <w:pPr>
              <w:pStyle w:val="null3"/>
              <w:ind w:left="285"/>
              <w:jc w:val="left"/>
            </w:pPr>
            <w:r>
              <w:rPr>
                <w:sz w:val="21"/>
              </w:rPr>
              <w:t>★</w:t>
            </w:r>
            <w:r>
              <w:rPr>
                <w:sz w:val="21"/>
              </w:rPr>
              <w:t>3、</w:t>
            </w:r>
            <w:r>
              <w:rPr>
                <w:sz w:val="21"/>
              </w:rPr>
              <w:t>检测周期</w:t>
            </w:r>
          </w:p>
          <w:p>
            <w:pPr>
              <w:pStyle w:val="null3"/>
              <w:ind w:left="705"/>
              <w:jc w:val="left"/>
            </w:pPr>
            <w:r>
              <w:rPr>
                <w:sz w:val="21"/>
              </w:rPr>
              <w:t>中标单位负责收取样品及运输，在取得</w:t>
            </w:r>
            <w:r>
              <w:rPr>
                <w:sz w:val="21"/>
              </w:rPr>
              <w:t>样品</w:t>
            </w:r>
            <w:r>
              <w:rPr>
                <w:sz w:val="21"/>
              </w:rPr>
              <w:t>并确认样品质控合格</w:t>
            </w:r>
            <w:r>
              <w:rPr>
                <w:sz w:val="21"/>
              </w:rPr>
              <w:t>后</w:t>
            </w:r>
            <w:r>
              <w:rPr>
                <w:sz w:val="21"/>
              </w:rPr>
              <w:t>10个工作日内完成所有检测。</w:t>
            </w:r>
          </w:p>
          <w:p>
            <w:pPr>
              <w:pStyle w:val="null3"/>
              <w:ind w:left="285"/>
              <w:jc w:val="left"/>
            </w:pPr>
            <w:r>
              <w:rPr>
                <w:sz w:val="21"/>
              </w:rPr>
              <w:t>▲</w:t>
            </w:r>
            <w:r>
              <w:rPr>
                <w:sz w:val="21"/>
              </w:rPr>
              <w:t>4、仪器平台</w:t>
            </w:r>
          </w:p>
          <w:p>
            <w:pPr>
              <w:pStyle w:val="null3"/>
              <w:ind w:left="420" w:firstLine="210"/>
              <w:jc w:val="left"/>
            </w:pPr>
            <w:r>
              <w:rPr>
                <w:sz w:val="21"/>
              </w:rPr>
              <w:t>具备</w:t>
            </w:r>
            <w:r>
              <w:rPr>
                <w:sz w:val="21"/>
              </w:rPr>
              <w:t>Dragonfly、Mosquito、和Eppendorf epMotion5075t自动化操作平台，以及Illumina NovaSeq 6000测序仪，需提供相关仪器平台购买或安装证明材料复印件或扫描件加盖投标人公章。</w:t>
            </w:r>
          </w:p>
          <w:p>
            <w:pPr>
              <w:pStyle w:val="null3"/>
              <w:ind w:left="285"/>
              <w:jc w:val="left"/>
            </w:pPr>
            <w:r>
              <w:rPr>
                <w:sz w:val="21"/>
              </w:rPr>
              <w:t>5、技术要求：</w:t>
            </w:r>
          </w:p>
          <w:p>
            <w:pPr>
              <w:pStyle w:val="null3"/>
              <w:ind w:left="285"/>
              <w:jc w:val="left"/>
            </w:pPr>
            <w:r>
              <w:rPr>
                <w:sz w:val="21"/>
              </w:rPr>
              <w:t>（</w:t>
            </w:r>
            <w:r>
              <w:rPr>
                <w:sz w:val="21"/>
              </w:rPr>
              <w:t>1）灵敏度：目标蛋白检测灵敏度可以低至fg/mL水平。可以在组学水平上检测疾病相关的成百上千种低丰度蛋白，尤其是血清、血浆、房水、脑脊液、胸水、尿液等各种体液样本。</w:t>
            </w:r>
          </w:p>
          <w:p>
            <w:pPr>
              <w:pStyle w:val="null3"/>
              <w:ind w:left="285"/>
              <w:jc w:val="left"/>
            </w:pPr>
            <w:r>
              <w:rPr>
                <w:sz w:val="21"/>
              </w:rPr>
              <w:t>（</w:t>
            </w:r>
            <w:r>
              <w:rPr>
                <w:sz w:val="21"/>
              </w:rPr>
              <w:t>2）特异性：基于质控设计和充分验证，所有数据具备组学水平的高特异性，每一个目标蛋白都有明确的靶向生物标志物。</w:t>
            </w:r>
          </w:p>
          <w:p>
            <w:pPr>
              <w:pStyle w:val="null3"/>
              <w:ind w:left="285"/>
              <w:jc w:val="left"/>
            </w:pPr>
            <w:r>
              <w:rPr>
                <w:sz w:val="21"/>
              </w:rPr>
              <w:t>（</w:t>
            </w:r>
            <w:r>
              <w:rPr>
                <w:sz w:val="21"/>
              </w:rPr>
              <w:t>3）重复性：</w:t>
            </w:r>
            <w:r>
              <w:rPr>
                <w:sz w:val="21"/>
              </w:rPr>
              <w:t>完整的自动化设备研发平台提供了高质量、稳定、高效的服务，</w:t>
            </w:r>
            <w:r>
              <w:rPr>
                <w:sz w:val="21"/>
              </w:rPr>
              <w:t>使用成熟的高通量技术作为检测手段，重复性好，数据质量高，适合大样本量检测需求。</w:t>
            </w:r>
          </w:p>
          <w:p>
            <w:pPr>
              <w:pStyle w:val="null3"/>
              <w:ind w:left="285"/>
              <w:jc w:val="left"/>
            </w:pPr>
            <w:r>
              <w:rPr>
                <w:sz w:val="21"/>
              </w:rPr>
              <w:t>（</w:t>
            </w:r>
            <w:r>
              <w:rPr>
                <w:sz w:val="21"/>
              </w:rPr>
              <w:t>4）检测限：检测范围横跨10个log值，满足不同丰度的蛋白标记物。</w:t>
            </w:r>
          </w:p>
          <w:p>
            <w:pPr>
              <w:pStyle w:val="null3"/>
              <w:ind w:left="285"/>
              <w:jc w:val="left"/>
            </w:pPr>
            <w:r>
              <w:rPr>
                <w:sz w:val="21"/>
              </w:rPr>
              <w:t>（</w:t>
            </w:r>
            <w:r>
              <w:rPr>
                <w:sz w:val="21"/>
              </w:rPr>
              <w:t>5）质控：样本检测过程中需要加入对照样本来保证结果准确性。</w:t>
            </w:r>
          </w:p>
          <w:p>
            <w:pPr>
              <w:pStyle w:val="null3"/>
              <w:ind w:left="285"/>
              <w:jc w:val="left"/>
            </w:pPr>
            <w:r>
              <w:rPr>
                <w:sz w:val="21"/>
              </w:rPr>
              <w:t>★</w:t>
            </w:r>
            <w:r>
              <w:rPr>
                <w:sz w:val="21"/>
              </w:rPr>
              <w:t>6、数据验收标准：</w:t>
            </w:r>
          </w:p>
          <w:p>
            <w:pPr>
              <w:pStyle w:val="null3"/>
              <w:ind w:left="285"/>
              <w:jc w:val="left"/>
            </w:pPr>
            <w:r>
              <w:rPr>
                <w:sz w:val="21"/>
              </w:rPr>
              <w:t>（</w:t>
            </w:r>
            <w:r>
              <w:rPr>
                <w:sz w:val="21"/>
              </w:rPr>
              <w:t>1）下机数据中匹配到每个样本的平均count数≥500；</w:t>
            </w:r>
          </w:p>
          <w:p>
            <w:pPr>
              <w:pStyle w:val="null3"/>
              <w:ind w:left="285"/>
              <w:jc w:val="left"/>
            </w:pPr>
            <w:r>
              <w:rPr>
                <w:sz w:val="21"/>
              </w:rPr>
              <w:t>（</w:t>
            </w:r>
            <w:r>
              <w:rPr>
                <w:sz w:val="21"/>
              </w:rPr>
              <w:t>2）Negative control的板中值和一个设定值的偏差≤5个标准偏差。</w:t>
            </w:r>
          </w:p>
          <w:p>
            <w:pPr>
              <w:pStyle w:val="null3"/>
              <w:ind w:left="285"/>
              <w:jc w:val="left"/>
            </w:pPr>
            <w:r>
              <w:rPr>
                <w:sz w:val="21"/>
              </w:rPr>
              <w:t>★</w:t>
            </w:r>
            <w:r>
              <w:rPr>
                <w:sz w:val="21"/>
              </w:rPr>
              <w:t>7、数据交付：交付所有测序原始数据，质控结果以及NPX分析结果；同时要求达到以下分析内容：</w:t>
            </w:r>
          </w:p>
          <w:p>
            <w:pPr>
              <w:pStyle w:val="null3"/>
              <w:ind w:left="420"/>
              <w:jc w:val="left"/>
            </w:pPr>
            <w:r>
              <w:rPr>
                <w:sz w:val="21"/>
              </w:rPr>
              <w:t>（</w:t>
            </w:r>
            <w:r>
              <w:rPr>
                <w:sz w:val="21"/>
              </w:rPr>
              <w:t>1）原始数据质量控制：1）NPX 样本分布箱线图，2）蛋白 NPX 值聚类热图，3）样本主成分析，4）数据标准化（多个NPX DATA）；</w:t>
            </w:r>
          </w:p>
          <w:p>
            <w:pPr>
              <w:pStyle w:val="null3"/>
              <w:ind w:left="420" w:firstLine="2"/>
              <w:jc w:val="left"/>
            </w:pPr>
            <w:r>
              <w:rPr>
                <w:sz w:val="21"/>
              </w:rPr>
              <w:t>（</w:t>
            </w:r>
            <w:r>
              <w:rPr>
                <w:sz w:val="21"/>
              </w:rPr>
              <w:t>2）蛋白表达定量：1）蛋白表达定量数据总表，2）蛋白表达值 NPX 聚类热图，3）Panel蛋白 NPX 相关性系数热图，4）目标蛋白 NPX 值箱线图。</w:t>
            </w:r>
          </w:p>
          <w:p>
            <w:pPr>
              <w:pStyle w:val="null3"/>
            </w:pPr>
            <w:r>
              <w:rPr>
                <w:sz w:val="21"/>
                <w:b/>
              </w:rPr>
              <w:t>注：</w:t>
            </w:r>
          </w:p>
          <w:p>
            <w:pPr>
              <w:pStyle w:val="null3"/>
              <w:jc w:val="both"/>
            </w:pPr>
            <w:r>
              <w:rPr>
                <w:sz w:val="21"/>
                <w:b/>
              </w:rPr>
              <w:t>1.以技术（参数）要求序号最细的（如1.与（1）、1）之间，1）为最细序号）作为一项参数。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1.采购代理机构：本项目是指广东信诚招标代理咨询有限公司，负责整个采购活动的组织，依法负责编制和发布招标文件，对招标文件拥有最终的解释权，不以任何身份出任评标委员会成员。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广州医科大学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采购包1：单价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采购机构代理服务收费标准：本次招标向中标人收取招标代理服务费。 参照国家发展计划委员会颁布的计价格﹝2002﹞1980号《招标代理服务收费管理暂行办法》的服务招标代理服务收费标准差额定率累进法下浮22 % 执行。 应以现金方式向采购代理机构直接缴纳招标代理服务费，付至采购代理机构发出的《领取《中标通知书》通知》的账号。</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其他，1.资金来源：财政资金，本项目属于政府采购项目。 2.招标文件附件：投标人应将招标公告中“相关附件”（如有）内容填写好相关信息后附在投标文件中。 3.投标文件内证明材料：投标人所提供的证明材料复印件或扫描件须清晰可辨，明确反映相关响应的信息，否则可能导致其投标无效或被拒绝。</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，中国采购与招标网（http://www.chinabidding.com.cn），中国财经报网 （http://www.cfen.com.cn/），广东信诚招标代理咨询有限公司(http://www.gdxczb.cn/)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，中国采购与招标网（http://www.chinabidding.com.cn），中国财经报网 （http://www.cfen.com.cn/），广东信诚招标代理咨询有限公司(http://www.gdxczb.cn/)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石工</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zbeb@gdxczb.cn</w:t>
      </w:r>
    </w:p>
    <w:p>
      <w:pPr>
        <w:pStyle w:val="null3"/>
        <w:ind w:firstLine="480"/>
      </w:pPr>
      <w:r>
        <w:rPr/>
        <w:t>地址：</w:t>
      </w:r>
      <w:r>
        <w:rPr/>
        <w:t>广州市越秀区德政北路538号达信大厦1708</w:t>
      </w:r>
    </w:p>
    <w:p>
      <w:pPr>
        <w:pStyle w:val="null3"/>
        <w:ind w:firstLine="480"/>
      </w:pPr>
      <w:r>
        <w:rPr/>
        <w:t>邮编：</w:t>
      </w:r>
      <w:r>
        <w:rPr/>
        <w:t>510050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医大2024年公共卫生学院蛋白组学检测服务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采购包1（广医大2024年公共卫生学院蛋白组学检测服务采购项目）：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采购包1（广医大2024年公共卫生学院蛋白组学检测服务采购项目）：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提供书面声明（格式自定）或相关证明材料；若已对接“粤省事”、“粤商通”、“粤信签”等系统的，可提供书面声明函（格式自拟）；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提供书面声明（格式自定）或相关证明材料；若已对接“粤省事”、“粤商通”、“粤信签”等系统的，可提供书面声明函（格式自拟）；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提供书面声明（格式自定）或相关证明材料；</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6）法律、行政法规规定的其他条件：按投标函相关承诺要求内容。</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需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本采购包不接受联合体投标。提供书面声明（格式自定）。</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专门面向中小企业采购的项目，中小企业以供应商填写的《中小企业声明函》（见投标文件格式）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其他未列明行业。</w:t>
            </w:r>
          </w:p>
        </w:tc>
      </w:tr>
    </w:tbl>
    <w:p>
      <w:pPr>
        <w:pStyle w:val="null3"/>
        <w:ind w:firstLine="480"/>
      </w:pPr>
      <w:r>
        <w:rPr/>
        <w:t>表二符合性审查表：</w:t>
      </w:r>
    </w:p>
    <w:p>
      <w:pPr>
        <w:pStyle w:val="null3"/>
      </w:pPr>
      <w:r>
        <w:rPr/>
        <w:t>采购包1（广医大2024年公共卫生学院蛋白组学检测服务采购项目）：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法定代表人证明书及授权委托书（如适用）</w:t>
            </w:r>
          </w:p>
        </w:tc>
        <w:tc>
          <w:tcPr>
            <w:tcW w:type="dxa" w:w="4238"/>
          </w:tcPr>
          <w:p>
            <w:pPr>
              <w:pStyle w:val="null3"/>
            </w:pPr>
            <w:r>
              <w:rPr/>
              <w:t>已经盖章、签署，有效期涵盖投标有效期。</w:t>
            </w:r>
          </w:p>
        </w:tc>
      </w:tr>
      <w:tr>
        <w:tc>
          <w:tcPr>
            <w:tcW w:type="dxa" w:w="890"/>
          </w:tcPr>
          <w:p>
            <w:pPr>
              <w:pStyle w:val="null3"/>
            </w:pPr>
            <w:r>
              <w:rPr/>
              <w:t>3</w:t>
            </w:r>
          </w:p>
        </w:tc>
        <w:tc>
          <w:tcPr>
            <w:tcW w:type="dxa" w:w="3178"/>
          </w:tcPr>
          <w:p>
            <w:pPr>
              <w:pStyle w:val="null3"/>
            </w:pPr>
            <w:r>
              <w:rPr/>
              <w:t>投标文件内容、签字、盖章</w:t>
            </w:r>
          </w:p>
        </w:tc>
        <w:tc>
          <w:tcPr>
            <w:tcW w:type="dxa" w:w="4238"/>
          </w:tcPr>
          <w:p>
            <w:pPr>
              <w:pStyle w:val="null3"/>
            </w:pPr>
            <w:r>
              <w:rPr/>
              <w:t>投标文件内容完整，无重大错漏，并已按招标文件要求签字、盖章。</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报价修正</w:t>
            </w:r>
          </w:p>
        </w:tc>
        <w:tc>
          <w:tcPr>
            <w:tcW w:type="dxa" w:w="4238"/>
          </w:tcPr>
          <w:p>
            <w:pPr>
              <w:pStyle w:val="null3"/>
            </w:pPr>
            <w:r>
              <w:rPr/>
              <w:t>如出现投标报价错误的处理原则修正后的报价,投标人按规定书面确认。</w:t>
            </w:r>
          </w:p>
        </w:tc>
      </w:tr>
      <w:tr>
        <w:tc>
          <w:tcPr>
            <w:tcW w:type="dxa" w:w="890"/>
          </w:tcPr>
          <w:p>
            <w:pPr>
              <w:pStyle w:val="null3"/>
            </w:pPr>
            <w:r>
              <w:rPr/>
              <w:t>6</w:t>
            </w:r>
          </w:p>
        </w:tc>
        <w:tc>
          <w:tcPr>
            <w:tcW w:type="dxa" w:w="3178"/>
          </w:tcPr>
          <w:p>
            <w:pPr>
              <w:pStyle w:val="null3"/>
            </w:pPr>
            <w:r>
              <w:rPr/>
              <w:t>投标方案</w:t>
            </w:r>
          </w:p>
        </w:tc>
        <w:tc>
          <w:tcPr>
            <w:tcW w:type="dxa" w:w="4238"/>
          </w:tcPr>
          <w:p>
            <w:pPr>
              <w:pStyle w:val="null3"/>
            </w:pPr>
            <w:r>
              <w:rPr/>
              <w:t>投标人提供的投标方案及报价方案固定。</w:t>
            </w:r>
          </w:p>
        </w:tc>
      </w:tr>
      <w:tr>
        <w:tc>
          <w:tcPr>
            <w:tcW w:type="dxa" w:w="890"/>
          </w:tcPr>
          <w:p>
            <w:pPr>
              <w:pStyle w:val="null3"/>
            </w:pPr>
            <w:r>
              <w:rPr/>
              <w:t>7</w:t>
            </w:r>
          </w:p>
        </w:tc>
        <w:tc>
          <w:tcPr>
            <w:tcW w:type="dxa" w:w="3178"/>
          </w:tcPr>
          <w:p>
            <w:pPr>
              <w:pStyle w:val="null3"/>
            </w:pPr>
            <w:r>
              <w:rPr/>
              <w:t>投标报价</w:t>
            </w:r>
          </w:p>
        </w:tc>
        <w:tc>
          <w:tcPr>
            <w:tcW w:type="dxa" w:w="4238"/>
          </w:tcPr>
          <w:p>
            <w:pPr>
              <w:pStyle w:val="null3"/>
            </w:pPr>
            <w:r>
              <w:rPr/>
              <w:t>投标报价是固定价且在有效报价范围内。评标委员会认为投标人的报价明显低于其他通过符合性审查投标人的报价，有可能影响产品质量或者不能诚信履约的，评标委员会要求投标人在评标现场合理的时间内提供书面说明。投标人有提供相关证明材料且能证明其报价是合理的。</w:t>
            </w:r>
          </w:p>
        </w:tc>
      </w:tr>
      <w:tr>
        <w:tc>
          <w:tcPr>
            <w:tcW w:type="dxa" w:w="890"/>
          </w:tcPr>
          <w:p>
            <w:pPr>
              <w:pStyle w:val="null3"/>
            </w:pPr>
            <w:r>
              <w:rPr/>
              <w:t>8</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9</w:t>
            </w:r>
          </w:p>
        </w:tc>
        <w:tc>
          <w:tcPr>
            <w:tcW w:type="dxa" w:w="3178"/>
          </w:tcPr>
          <w:p>
            <w:pPr>
              <w:pStyle w:val="null3"/>
            </w:pPr>
            <w:r>
              <w:rPr/>
              <w:t>串通投标</w:t>
            </w:r>
          </w:p>
        </w:tc>
        <w:tc>
          <w:tcPr>
            <w:tcW w:type="dxa" w:w="4238"/>
          </w:tcPr>
          <w:p>
            <w:pPr>
              <w:pStyle w:val="null3"/>
            </w:pPr>
            <w:r>
              <w:rPr/>
              <w:t>未出现招标文件所列的视为串通投标的情形。</w:t>
            </w:r>
          </w:p>
        </w:tc>
      </w:tr>
      <w:tr>
        <w:tc>
          <w:tcPr>
            <w:tcW w:type="dxa" w:w="890"/>
          </w:tcPr>
          <w:p>
            <w:pPr>
              <w:pStyle w:val="null3"/>
            </w:pPr>
            <w:r>
              <w:rPr/>
              <w:t>10</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采购包1(广医大2024年公共卫生学院蛋白组学检测服务采购项目):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商务部分32.0分</w:t>
            </w:r>
          </w:p>
          <w:p>
            <w:pPr>
              <w:pStyle w:val="null3"/>
            </w:pPr>
            <w:r>
              <w:rPr/>
              <w:t>技术部分53.0分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服务需求响应情况 (33.0分)</w:t>
            </w:r>
          </w:p>
        </w:tc>
        <w:tc>
          <w:tcPr>
            <w:tcW w:type="dxa" w:w="5076"/>
          </w:tcPr>
          <w:p>
            <w:pPr>
              <w:pStyle w:val="null3"/>
              <w:jc w:val="left"/>
            </w:pPr>
            <w:r>
              <w:rPr/>
              <w:t>根据各投标人所投产品对《第二章 采购需求》中“采购包1（广医大2024年公共卫生学院蛋白组学检测服务采购项目）”的“2.技术标准与要求”的“附表一”的“具体技术（参数）要求”对应响应情况进行综合评审： 1.对2项带“▲”的技术要求进行逐一响应，本小项共12分： （共2条标注“▲”的重要技术参数），每满足一个“▲”号，得6分，完全满足得12分。 2.对一般条款（“▲”“★”除外）的服务要求进行逐一响应，本小项共21分； （1）无负偏离的，得21分； （2）负偏离1-2项的，得14分； （3）负偏离3-4项的，得8分； （4）负偏离5-6项的，得2分； （5）负偏离7项的，不得分。 注：采购需求有要求的，按照采购需求之要求提供证明材料并加盖投标人公章，否则不得分。</w:t>
            </w:r>
          </w:p>
        </w:tc>
      </w:tr>
      <w:tr>
        <w:tc>
          <w:tcPr>
            <w:tcW w:type="dxa" w:w="922"/>
            <w:gridSpan w:val="2"/>
            <w:vMerge/>
          </w:tcPr>
          <w:p/>
        </w:tc>
        <w:tc>
          <w:tcPr>
            <w:tcW w:type="dxa" w:w="2307"/>
          </w:tcPr>
          <w:p>
            <w:pPr>
              <w:pStyle w:val="null3"/>
              <w:jc w:val="left"/>
            </w:pPr>
            <w:r>
              <w:rPr/>
              <w:t>项目实施方案 (7.0分)</w:t>
            </w:r>
            <w:r>
              <w:rPr/>
              <w:t>，（等次分值选择：</w:t>
            </w:r>
            <w:r>
              <w:rPr/>
              <w:t>0.0;</w:t>
            </w:r>
            <w:r>
              <w:rPr/>
              <w:t>1.0;</w:t>
            </w:r>
            <w:r>
              <w:rPr/>
              <w:t>3.0;</w:t>
            </w:r>
            <w:r>
              <w:rPr/>
              <w:t>5.0;</w:t>
            </w:r>
            <w:r>
              <w:rPr/>
              <w:t>7.0;</w:t>
            </w:r>
            <w:r>
              <w:rPr/>
              <w:t>）</w:t>
            </w:r>
          </w:p>
        </w:tc>
        <w:tc>
          <w:tcPr>
            <w:tcW w:type="dxa" w:w="5076"/>
          </w:tcPr>
          <w:p>
            <w:pPr>
              <w:pStyle w:val="null3"/>
              <w:jc w:val="left"/>
            </w:pPr>
            <w:r>
              <w:rPr/>
              <w:t>对各投标人针对本项目整体检验实施方案（包括服务对接、流程把控、拟投入检测设备配置的完整性、先进程度等）进行综合评审： （1）整体实施方案能够贴合采购人情况设置，方案内容完善、具体，每环节有明确的步骤、时间点和人员分工，提供拟投入的检测设备清单，完全满足或优于采购需求的，得7分； （2）整体实施方案有结合采购人情况设置，方案内容具体，有一定步骤或流程但不够详细，或缺少提供拟投入的检测设备清单，部分满足采购需求的，得5分； （3）整体实施方案未结合采购人情况设置，且方案内容简单、缺少提供拟投入的检测设备清单的，得3分； （4）整体实施方案缺乏内容或内容差的，得1分； （5）不提供不得分。</w:t>
            </w:r>
          </w:p>
        </w:tc>
      </w:tr>
      <w:tr>
        <w:tc>
          <w:tcPr>
            <w:tcW w:type="dxa" w:w="922"/>
            <w:gridSpan w:val="2"/>
            <w:vMerge/>
          </w:tcPr>
          <w:p/>
        </w:tc>
        <w:tc>
          <w:tcPr>
            <w:tcW w:type="dxa" w:w="2307"/>
          </w:tcPr>
          <w:p>
            <w:pPr>
              <w:pStyle w:val="null3"/>
              <w:jc w:val="left"/>
            </w:pPr>
            <w:r>
              <w:rPr/>
              <w:t>样本运输保管方案及保障措施方案 (7.0分)</w:t>
            </w:r>
            <w:r>
              <w:rPr/>
              <w:t>，（等次分值选择：</w:t>
            </w:r>
            <w:r>
              <w:rPr/>
              <w:t>0.0;</w:t>
            </w:r>
            <w:r>
              <w:rPr/>
              <w:t>1.0;</w:t>
            </w:r>
            <w:r>
              <w:rPr/>
              <w:t>3.0;</w:t>
            </w:r>
            <w:r>
              <w:rPr/>
              <w:t>5.0;</w:t>
            </w:r>
            <w:r>
              <w:rPr/>
              <w:t>7.0;</w:t>
            </w:r>
            <w:r>
              <w:rPr/>
              <w:t>）</w:t>
            </w:r>
          </w:p>
        </w:tc>
        <w:tc>
          <w:tcPr>
            <w:tcW w:type="dxa" w:w="5076"/>
          </w:tcPr>
          <w:p>
            <w:pPr>
              <w:pStyle w:val="null3"/>
              <w:jc w:val="left"/>
            </w:pPr>
            <w:r>
              <w:rPr/>
              <w:t>根据投标人提供的样本运输保管方案及其保障措施进行评审： （1）方案内容完整详细，步骤清晰、合理，设备配套完善，完全满足或优于采购需求的，得7分； （2）方案内容具体，步骤清晰，设备配套良好，基本满足采购需求的，得5分； （3）方案内容简单，有大致步骤，设备配套尚可，部分满足采购需求的，得3分； （4）方案内容有欠缺，设备配套差，不能满足采购需求的，得1分； （5）未提供方案不得分。</w:t>
            </w:r>
          </w:p>
        </w:tc>
      </w:tr>
      <w:tr>
        <w:tc>
          <w:tcPr>
            <w:tcW w:type="dxa" w:w="922"/>
            <w:gridSpan w:val="2"/>
            <w:vMerge/>
          </w:tcPr>
          <w:p/>
        </w:tc>
        <w:tc>
          <w:tcPr>
            <w:tcW w:type="dxa" w:w="2307"/>
          </w:tcPr>
          <w:p>
            <w:pPr>
              <w:pStyle w:val="null3"/>
              <w:jc w:val="left"/>
            </w:pPr>
            <w:r>
              <w:rPr/>
              <w:t>应急处理方案 (6.0分)</w:t>
            </w:r>
            <w:r>
              <w:rPr/>
              <w:t>，（等次分值选择：</w:t>
            </w:r>
            <w:r>
              <w:rPr/>
              <w:t>0.0;</w:t>
            </w:r>
            <w:r>
              <w:rPr/>
              <w:t>1.0;</w:t>
            </w:r>
            <w:r>
              <w:rPr/>
              <w:t>3.0;</w:t>
            </w:r>
            <w:r>
              <w:rPr/>
              <w:t>6.0;</w:t>
            </w:r>
            <w:r>
              <w:rPr/>
              <w:t>）</w:t>
            </w:r>
          </w:p>
        </w:tc>
        <w:tc>
          <w:tcPr>
            <w:tcW w:type="dxa" w:w="5076"/>
          </w:tcPr>
          <w:p>
            <w:pPr>
              <w:pStyle w:val="null3"/>
              <w:jc w:val="left"/>
            </w:pPr>
            <w:r>
              <w:rPr/>
              <w:t>投标人根据本项目采购需求提供应急处理方案，内容至少包含：①可能发生的突发情况分析及应对措施、②采购人可能委派的紧急检测项目的应急处理措施、③应急服务人员安排等。 （1）方案内容完整、表达清晰、科学合理、可操作性强的，完全满足且优于招标文件采购需求得6分； （2）方案内容完整，有可操作性，完全满足招标文件采购需求得3分； （3）方案内容有缺项，不完全满足招标文件采购需求得1分； （4）无提供得0分。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 (6.0分)</w:t>
            </w:r>
          </w:p>
        </w:tc>
        <w:tc>
          <w:tcPr>
            <w:tcW w:type="dxa" w:w="5076"/>
          </w:tcPr>
          <w:p>
            <w:pPr>
              <w:pStyle w:val="null3"/>
              <w:jc w:val="left"/>
            </w:pPr>
            <w:r>
              <w:rPr/>
              <w:t>投标人自2021年1月1日至今（以合同签订时间为准）承接过类似蛋白组学检测服务项目的同类项目经验，每提供一份业绩得2分，最高得6分。 注：须提供上述项目业绩的合同关键页（含签订合同双方的单位名称、合同项目名称、签订合同双方的落款盖章、签订日期等）复印件或扫描件，并加盖投标人公章，同一用户单位的多个项目经验仅对一个项目经验计分，不重复计分。</w:t>
            </w:r>
          </w:p>
        </w:tc>
      </w:tr>
      <w:tr>
        <w:tc>
          <w:tcPr>
            <w:tcW w:type="dxa" w:w="922"/>
            <w:gridSpan w:val="2"/>
            <w:vMerge/>
          </w:tcPr>
          <w:p/>
        </w:tc>
        <w:tc>
          <w:tcPr>
            <w:tcW w:type="dxa" w:w="2307"/>
          </w:tcPr>
          <w:p>
            <w:pPr>
              <w:pStyle w:val="null3"/>
              <w:jc w:val="left"/>
            </w:pPr>
            <w:r>
              <w:rPr/>
              <w:t>售后服务方案 (5.0分)</w:t>
            </w:r>
            <w:r>
              <w:rPr/>
              <w:t>，（等次分值选择：</w:t>
            </w:r>
            <w:r>
              <w:rPr/>
              <w:t>0.0;</w:t>
            </w:r>
            <w:r>
              <w:rPr/>
              <w:t>1.0;</w:t>
            </w:r>
            <w:r>
              <w:rPr/>
              <w:t>3.0;</w:t>
            </w:r>
            <w:r>
              <w:rPr/>
              <w:t>5.0;</w:t>
            </w:r>
            <w:r>
              <w:rPr/>
              <w:t>）</w:t>
            </w:r>
          </w:p>
        </w:tc>
        <w:tc>
          <w:tcPr>
            <w:tcW w:type="dxa" w:w="5076"/>
          </w:tcPr>
          <w:p>
            <w:pPr>
              <w:pStyle w:val="null3"/>
              <w:jc w:val="left"/>
            </w:pPr>
            <w:r>
              <w:rPr/>
              <w:t>对于投标人根据“第二章 采购需求”的“1.主要商务要求”的“其他”中“二、采购项目培训及售后服务要求”第“2.1”的要求提供的售后服务方案进行综合评审： （1）售后服务方案内容详细合理，可行性高，完全满足或优于采购需求的，得5分； （2）售后服务方案内容具体，有一定可行性，能够大部分满足采购需求的，得3分； （3）售后服务方案内容简单，有大致步骤，部分满足采购需求的，得1分； （4）售后服务方案内容有欠缺，不能满足采购需求的，或未提供方案的，得0分。</w:t>
            </w:r>
          </w:p>
        </w:tc>
      </w:tr>
      <w:tr>
        <w:tc>
          <w:tcPr>
            <w:tcW w:type="dxa" w:w="922"/>
            <w:gridSpan w:val="2"/>
            <w:vMerge/>
          </w:tcPr>
          <w:p/>
        </w:tc>
        <w:tc>
          <w:tcPr>
            <w:tcW w:type="dxa" w:w="2307"/>
          </w:tcPr>
          <w:p>
            <w:pPr>
              <w:pStyle w:val="null3"/>
              <w:jc w:val="left"/>
            </w:pPr>
            <w:r>
              <w:rPr/>
              <w:t>培训服务方案 (5.0分)</w:t>
            </w:r>
            <w:r>
              <w:rPr/>
              <w:t>，（等次分值选择：</w:t>
            </w:r>
            <w:r>
              <w:rPr/>
              <w:t>0.0;</w:t>
            </w:r>
            <w:r>
              <w:rPr/>
              <w:t>1.0;</w:t>
            </w:r>
            <w:r>
              <w:rPr/>
              <w:t>2.0;</w:t>
            </w:r>
            <w:r>
              <w:rPr/>
              <w:t>3.0;</w:t>
            </w:r>
            <w:r>
              <w:rPr/>
              <w:t>5.0;</w:t>
            </w:r>
            <w:r>
              <w:rPr/>
              <w:t>）</w:t>
            </w:r>
          </w:p>
        </w:tc>
        <w:tc>
          <w:tcPr>
            <w:tcW w:type="dxa" w:w="5076"/>
          </w:tcPr>
          <w:p>
            <w:pPr>
              <w:pStyle w:val="null3"/>
              <w:jc w:val="left"/>
            </w:pPr>
            <w:r>
              <w:rPr/>
              <w:t>对于投标人根据“第二章 采购需求”的“1.主要商务要求”的“其他”中“二、采购项目培训及售后服务要求”第“2.2”的要求提供的培训方案进行综合评审： （1）方案内容详细合理，步骤明确清晰，服务方案完全满足或优于采购需求的，得5分； （2）方案内容具体，步骤清晰，服务方案能大部分满足采购需求的，得3分； （3）方案内容简单，有大致步骤，服务方案部分满足采购需求的，得2分； （4）方案内容有欠缺，服务方案不能满足采购需求的，得1分； （5）不提供方案不得分。</w:t>
            </w:r>
          </w:p>
        </w:tc>
      </w:tr>
      <w:tr>
        <w:tc>
          <w:tcPr>
            <w:tcW w:type="dxa" w:w="922"/>
            <w:gridSpan w:val="2"/>
            <w:vMerge/>
          </w:tcPr>
          <w:p/>
        </w:tc>
        <w:tc>
          <w:tcPr>
            <w:tcW w:type="dxa" w:w="2307"/>
          </w:tcPr>
          <w:p>
            <w:pPr>
              <w:pStyle w:val="null3"/>
              <w:jc w:val="left"/>
            </w:pPr>
            <w:r>
              <w:rPr/>
              <w:t>平台资质 (5.0分)</w:t>
            </w:r>
          </w:p>
        </w:tc>
        <w:tc>
          <w:tcPr>
            <w:tcW w:type="dxa" w:w="5076"/>
          </w:tcPr>
          <w:p>
            <w:pPr>
              <w:pStyle w:val="null3"/>
              <w:jc w:val="left"/>
            </w:pPr>
            <w:r>
              <w:rPr/>
              <w:t>1.投标人已经获得Olink公司服务商认证的得2分，需提供认证证书复印件或扫描件并加盖投标人公章。 2.投标人已经完成Olink Explore HT 质控标准的一致性验证的得3分；完成Olink Target 48/96质控标准的一致性验证得1分；未完成验证得0分。此小项总得分最多3分。 注：提供Olink公司出具的验证报告复印件或扫描件并加盖投标人公章，须清晰可辨。</w:t>
            </w:r>
          </w:p>
        </w:tc>
      </w:tr>
      <w:tr>
        <w:tc>
          <w:tcPr>
            <w:tcW w:type="dxa" w:w="922"/>
            <w:gridSpan w:val="2"/>
            <w:vMerge/>
          </w:tcPr>
          <w:p/>
        </w:tc>
        <w:tc>
          <w:tcPr>
            <w:tcW w:type="dxa" w:w="2307"/>
          </w:tcPr>
          <w:p>
            <w:pPr>
              <w:pStyle w:val="null3"/>
              <w:jc w:val="left"/>
            </w:pPr>
            <w:r>
              <w:rPr/>
              <w:t>拟投入人员情况 (11.0分)</w:t>
            </w:r>
          </w:p>
        </w:tc>
        <w:tc>
          <w:tcPr>
            <w:tcW w:type="dxa" w:w="5076"/>
          </w:tcPr>
          <w:p>
            <w:pPr>
              <w:pStyle w:val="null3"/>
              <w:jc w:val="left"/>
            </w:pPr>
            <w:r>
              <w:rPr/>
              <w:t>根据投标人提供的技术服务团队人员进行评审： 1.技术服务团队人员每具备一份Olink Explore操作实验考试合格证得3分，不具备得0分，本小项最多得6分； 2.（1）技术人员队伍配备结构完善合理、经验丰富、3人或以上具有生物或医学类博士学位的得5分； （2）技术人员队伍配备合理、具有类似项目经验，生物或医学类博士学位不足3人的得3分； （3）技术人员队伍基本配备、具有类似项目经验的，得1分； （4）无配备技术人员队伍，或基本无经验的得0分。 注：须提供相关证书复印件或扫描件加盖投标人公章，及投标截止日前3个月内任意一个月的投标人为其购买社会保险的凭证复印件加盖投标人公章。</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52"/>
          <w:b/>
        </w:rPr>
        <w:t>广州医科大学</w:t>
      </w:r>
    </w:p>
    <w:p>
      <w:pPr>
        <w:pStyle w:val="null3"/>
        <w:ind w:firstLine="1084"/>
        <w:jc w:val="both"/>
      </w:pPr>
      <w:r>
        <w:rPr/>
        <w:t xml:space="preserve"> </w:t>
      </w:r>
    </w:p>
    <w:p>
      <w:pPr>
        <w:pStyle w:val="null3"/>
        <w:jc w:val="center"/>
      </w:pPr>
      <w:r>
        <w:rPr>
          <w:sz w:val="72"/>
          <w:b/>
        </w:rPr>
        <w:t>合</w:t>
      </w:r>
      <w:r>
        <w:rPr>
          <w:sz w:val="72"/>
          <w:b/>
        </w:rPr>
        <w:t>同</w:t>
      </w:r>
      <w:r>
        <w:rPr>
          <w:sz w:val="72"/>
          <w:b/>
        </w:rPr>
        <w:t>书</w:t>
      </w:r>
    </w:p>
    <w:tbl>
      <w:tblPr>
        <w:tblW w:w="0" w:type="auto"/>
        <w:tblBorders>
          <w:top w:val="none" w:color="000000" w:sz="4"/>
          <w:left w:val="none" w:color="000000" w:sz="4"/>
          <w:bottom w:val="none" w:color="000000" w:sz="4"/>
          <w:right w:val="none" w:color="000000" w:sz="4"/>
          <w:insideH w:val="none"/>
          <w:insideV w:val="none"/>
        </w:tblBorders>
      </w:tblPr>
      <w:tblGrid>
        <w:gridCol w:w="8235"/>
      </w:tblGrid>
      <w:tr>
        <w:tc>
          <w:tcPr>
            <w:tcW w:type="dxa" w:w="82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482"/>
              <w:jc w:val="both"/>
            </w:pPr>
          </w:p>
        </w:tc>
      </w:tr>
      <w:tr>
        <w:tc>
          <w:tcPr>
            <w:tcW w:type="dxa" w:w="82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32"/>
                <w:b/>
              </w:rPr>
              <w:t>采购编号：</w:t>
            </w:r>
            <w:r>
              <w:rPr>
                <w:sz w:val="32"/>
                <w:b/>
              </w:rPr>
              <w:t xml:space="preserve">         </w:t>
            </w:r>
          </w:p>
        </w:tc>
      </w:tr>
      <w:tr>
        <w:tc>
          <w:tcPr>
            <w:tcW w:type="dxa" w:w="82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482"/>
              <w:jc w:val="both"/>
            </w:pPr>
            <w:r>
              <w:rPr>
                <w:sz w:val="32"/>
                <w:b/>
              </w:rPr>
              <w:t>项目名称：</w:t>
            </w:r>
            <w:r>
              <w:rPr>
                <w:sz w:val="32"/>
                <w:b/>
              </w:rPr>
              <w:t xml:space="preserve">                                       </w:t>
            </w:r>
          </w:p>
        </w:tc>
      </w:tr>
      <w:tr>
        <w:tc>
          <w:tcPr>
            <w:tcW w:type="dxa" w:w="82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482"/>
              <w:jc w:val="both"/>
            </w:pPr>
            <w:r>
              <w:rPr>
                <w:sz w:val="32"/>
                <w:b/>
              </w:rPr>
              <w:t>中标公司：</w:t>
            </w:r>
            <w:r>
              <w:rPr>
                <w:sz w:val="32"/>
                <w:b/>
              </w:rPr>
              <w:t xml:space="preserve">                                  </w:t>
            </w:r>
          </w:p>
        </w:tc>
      </w:tr>
    </w:tbl>
    <w:p>
      <w:pPr>
        <w:pStyle w:val="null3"/>
        <w:ind w:firstLine="422"/>
        <w:jc w:val="both"/>
      </w:pPr>
      <w:r>
        <w:rPr>
          <w:sz w:val="32"/>
          <w:b/>
        </w:rPr>
        <w:t>服</w:t>
      </w:r>
      <w:r>
        <w:rPr>
          <w:sz w:val="32"/>
          <w:b/>
        </w:rPr>
        <w:t>务</w:t>
      </w:r>
      <w:r>
        <w:rPr>
          <w:sz w:val="32"/>
          <w:b/>
        </w:rPr>
        <w:t>采</w:t>
      </w:r>
      <w:r>
        <w:rPr>
          <w:sz w:val="32"/>
          <w:b/>
        </w:rPr>
        <w:t>购</w:t>
      </w:r>
      <w:r>
        <w:rPr>
          <w:sz w:val="32"/>
          <w:b/>
        </w:rPr>
        <w:t>合</w:t>
      </w:r>
      <w:r>
        <w:rPr>
          <w:sz w:val="32"/>
          <w:b/>
        </w:rPr>
        <w:t>同</w:t>
      </w:r>
    </w:p>
    <w:p>
      <w:pPr>
        <w:pStyle w:val="null3"/>
      </w:pPr>
      <w:r>
        <w:rPr/>
        <w:t xml:space="preserve"> </w:t>
      </w:r>
    </w:p>
    <w:p>
      <w:pPr>
        <w:pStyle w:val="null3"/>
        <w:jc w:val="both"/>
      </w:pPr>
      <w:r>
        <w:rPr>
          <w:sz w:val="24"/>
          <w:b/>
        </w:rPr>
        <w:t>甲</w:t>
      </w:r>
      <w:r>
        <w:rPr>
          <w:sz w:val="24"/>
          <w:b/>
        </w:rPr>
        <w:t xml:space="preserve">  </w:t>
      </w:r>
      <w:r>
        <w:rPr>
          <w:sz w:val="24"/>
          <w:b/>
        </w:rPr>
        <w:t>方：广州医科大学</w:t>
      </w:r>
    </w:p>
    <w:p>
      <w:pPr>
        <w:pStyle w:val="null3"/>
        <w:jc w:val="both"/>
      </w:pPr>
      <w:r>
        <w:rPr>
          <w:sz w:val="24"/>
          <w:b/>
        </w:rPr>
        <w:t>乙</w:t>
      </w:r>
      <w:r>
        <w:rPr>
          <w:sz w:val="24"/>
          <w:b/>
        </w:rPr>
        <w:t xml:space="preserve">  </w:t>
      </w:r>
      <w:r>
        <w:rPr>
          <w:sz w:val="24"/>
          <w:b/>
        </w:rPr>
        <w:t>方：</w:t>
      </w:r>
      <w:r>
        <w:rPr>
          <w:sz w:val="21"/>
          <w:b/>
          <w:u w:val="single"/>
        </w:rPr>
        <w:t xml:space="preserve">                  </w:t>
      </w:r>
    </w:p>
    <w:p>
      <w:pPr>
        <w:pStyle w:val="null3"/>
        <w:ind w:firstLine="480"/>
        <w:jc w:val="both"/>
      </w:pPr>
      <w:r>
        <w:rPr>
          <w:sz w:val="24"/>
        </w:rPr>
        <w:t>根据《中华人民共和国政府采购法》、《中华人民共和国民法典》及中标结果和招标文件（项目名称：</w:t>
      </w:r>
      <w:r>
        <w:rPr>
          <w:sz w:val="24"/>
          <w:u w:val="single"/>
        </w:rPr>
        <w:t>广医大</w:t>
      </w:r>
      <w:r>
        <w:rPr>
          <w:sz w:val="24"/>
          <w:u w:val="single"/>
        </w:rPr>
        <w:t>2024年公共卫生学院蛋白组学检测服务采购项目</w:t>
      </w:r>
      <w:r>
        <w:rPr>
          <w:sz w:val="24"/>
        </w:rPr>
        <w:t>，项目编号：</w:t>
      </w:r>
      <w:r>
        <w:rPr>
          <w:sz w:val="24"/>
          <w:u w:val="single"/>
        </w:rPr>
        <w:t>3587-2412GZG30701</w:t>
      </w:r>
      <w:r>
        <w:rPr>
          <w:sz w:val="24"/>
        </w:rPr>
        <w:t>）的要求，经甲、乙双方协商确定，为明确双方责任和权利，特签订本合同，共同遵守。具体条款如下：</w:t>
      </w:r>
    </w:p>
    <w:p>
      <w:pPr>
        <w:pStyle w:val="null3"/>
        <w:jc w:val="both"/>
      </w:pPr>
      <w:r>
        <w:rPr>
          <w:sz w:val="24"/>
          <w:b/>
        </w:rPr>
        <w:t>一、合同价</w:t>
      </w:r>
    </w:p>
    <w:p>
      <w:pPr>
        <w:pStyle w:val="null3"/>
        <w:ind w:firstLine="480"/>
        <w:jc w:val="both"/>
      </w:pPr>
      <w:r>
        <w:rPr>
          <w:sz w:val="24"/>
        </w:rPr>
        <w:t>1.合同单价：</w:t>
      </w:r>
      <w:r>
        <w:rPr>
          <w:sz w:val="21"/>
          <w:u w:val="single"/>
        </w:rPr>
        <w:t xml:space="preserve">        </w:t>
      </w:r>
      <w:r>
        <w:rPr>
          <w:sz w:val="24"/>
        </w:rPr>
        <w:t>。本合同单价涵盖包括服务所需的设备、试剂、耗材、标本接收、运输、检测、报告、售后服务、人力成本、保险、各种税费以及合同实施过程中的应预见和不可预见费用等完成本合同规定责任和义务、达到合同目的之一切费用。本合同执行期间不得随意更改合同单价。签订合同后，任何因乙方的疏漏而提出的不利于甲方的另行支付与本项目相关的任何费用的申请将不被接受。</w:t>
      </w:r>
    </w:p>
    <w:p>
      <w:pPr>
        <w:pStyle w:val="null3"/>
        <w:ind w:firstLine="482"/>
        <w:jc w:val="both"/>
      </w:pPr>
      <w:r>
        <w:rPr>
          <w:sz w:val="24"/>
          <w:b/>
        </w:rPr>
        <w:t>2.</w:t>
      </w:r>
      <w:r>
        <w:rPr>
          <w:sz w:val="24"/>
        </w:rPr>
        <w:t>本合同</w:t>
      </w:r>
      <w:r>
        <w:rPr>
          <w:sz w:val="24"/>
        </w:rPr>
        <w:t>项目</w:t>
      </w:r>
      <w:r>
        <w:rPr>
          <w:sz w:val="24"/>
        </w:rPr>
        <w:t>服务期间实际</w:t>
      </w:r>
      <w:r>
        <w:rPr>
          <w:sz w:val="24"/>
          <w:shd w:fill="FFFFFF" w:val="clear"/>
        </w:rPr>
        <w:t>送检</w:t>
      </w:r>
      <w:r>
        <w:rPr>
          <w:sz w:val="24"/>
        </w:rPr>
        <w:t>结算总金额不超过本项目预算金额，即人民币：</w:t>
      </w:r>
      <w:r>
        <w:rPr>
          <w:sz w:val="24"/>
        </w:rPr>
        <w:t>1,600,000.00元（大写）：壹佰陆拾万元整。</w:t>
      </w:r>
    </w:p>
    <w:p>
      <w:pPr>
        <w:pStyle w:val="null3"/>
        <w:jc w:val="both"/>
      </w:pPr>
      <w:r>
        <w:rPr>
          <w:sz w:val="24"/>
          <w:b/>
        </w:rPr>
        <w:t>二、服务期限：</w:t>
      </w:r>
      <w:r>
        <w:rPr>
          <w:sz w:val="24"/>
        </w:rPr>
        <w:t>自合同签订之日起总期限</w:t>
      </w:r>
      <w:r>
        <w:rPr>
          <w:sz w:val="24"/>
        </w:rPr>
        <w:t>1年，到期</w:t>
      </w:r>
      <w:r>
        <w:rPr>
          <w:sz w:val="24"/>
        </w:rPr>
        <w:t>或</w:t>
      </w:r>
      <w:r>
        <w:rPr>
          <w:sz w:val="24"/>
        </w:rPr>
        <w:t>实际送检样本总数达</w:t>
      </w:r>
      <w:r>
        <w:rPr>
          <w:sz w:val="24"/>
        </w:rPr>
        <w:t>200个即项目完毕</w:t>
      </w:r>
      <w:r>
        <w:rPr>
          <w:sz w:val="24"/>
        </w:rPr>
        <w:t>。</w:t>
      </w:r>
    </w:p>
    <w:p>
      <w:pPr>
        <w:pStyle w:val="null3"/>
        <w:jc w:val="both"/>
      </w:pPr>
      <w:r>
        <w:rPr>
          <w:sz w:val="24"/>
          <w:b/>
        </w:rPr>
        <w:t>三、</w:t>
      </w:r>
      <w:r>
        <w:rPr>
          <w:sz w:val="24"/>
          <w:b/>
        </w:rPr>
        <w:t>服务地点：</w:t>
      </w:r>
      <w:r>
        <w:rPr>
          <w:sz w:val="24"/>
        </w:rPr>
        <w:t>乙方</w:t>
      </w:r>
      <w:r>
        <w:rPr>
          <w:sz w:val="24"/>
        </w:rPr>
        <w:t>实验室。</w:t>
      </w:r>
    </w:p>
    <w:p>
      <w:pPr>
        <w:pStyle w:val="null3"/>
        <w:jc w:val="both"/>
      </w:pPr>
      <w:r>
        <w:rPr>
          <w:sz w:val="24"/>
          <w:b/>
        </w:rPr>
        <w:t>四、服务要求</w:t>
      </w:r>
    </w:p>
    <w:p>
      <w:pPr>
        <w:pStyle w:val="null3"/>
        <w:ind w:firstLine="480"/>
        <w:jc w:val="both"/>
      </w:pPr>
      <w:r>
        <w:rPr>
          <w:sz w:val="24"/>
        </w:rPr>
        <w:t>1.本合同需执行的国家相关标准、行业标准、地方标准或者其他标准、规范</w:t>
      </w:r>
      <w:r>
        <w:rPr>
          <w:sz w:val="24"/>
        </w:rPr>
        <w:t>：</w:t>
      </w:r>
      <w:r>
        <w:rPr>
          <w:sz w:val="24"/>
        </w:rPr>
        <w:t>检测实验室获得</w:t>
      </w:r>
      <w:r>
        <w:rPr>
          <w:sz w:val="24"/>
        </w:rPr>
        <w:t>CLIA、CAP、ISO15189和ISO27001认证</w:t>
      </w:r>
      <w:r>
        <w:rPr>
          <w:sz w:val="24"/>
        </w:rPr>
        <w:t>。</w:t>
      </w:r>
    </w:p>
    <w:p>
      <w:pPr>
        <w:pStyle w:val="null3"/>
        <w:ind w:firstLine="480"/>
        <w:jc w:val="both"/>
      </w:pPr>
      <w:r>
        <w:rPr>
          <w:sz w:val="24"/>
        </w:rPr>
        <w:t>2.本合同需实现的功能目标</w:t>
      </w:r>
      <w:r>
        <w:rPr>
          <w:sz w:val="24"/>
        </w:rPr>
        <w:t>：</w:t>
      </w:r>
    </w:p>
    <w:p>
      <w:pPr>
        <w:pStyle w:val="null3"/>
        <w:ind w:firstLine="480"/>
        <w:jc w:val="both"/>
      </w:pPr>
      <w:r>
        <w:rPr>
          <w:sz w:val="24"/>
        </w:rPr>
        <w:t>基于前瞻性队列研究设计，以大型队列的生物样本为基础，通过高通量蛋白质测序技术定性和定量检测研究人群基线外周血的蛋白质表达，从中筛选出能够预测肺癌发生风险的生物标志物。这需要在有限的生物样本资源中更多的检测蛋白质及其代谢物，而目前国际前沿的</w:t>
      </w:r>
      <w:r>
        <w:rPr>
          <w:sz w:val="24"/>
        </w:rPr>
        <w:t>PEA技术（Proximity Extension Assay，邻位延伸分析技术）为此目标提供了支撑，这是项目开展的关键环节，也是迫切需要的技术平台。</w:t>
      </w:r>
    </w:p>
    <w:p>
      <w:pPr>
        <w:pStyle w:val="null3"/>
        <w:ind w:firstLine="480"/>
        <w:jc w:val="both"/>
      </w:pPr>
      <w:r>
        <w:rPr>
          <w:sz w:val="24"/>
        </w:rPr>
        <w:t>3.本合同的具体要求</w:t>
      </w:r>
      <w:r>
        <w:rPr>
          <w:sz w:val="24"/>
        </w:rPr>
        <w:t>：</w:t>
      </w:r>
    </w:p>
    <w:p>
      <w:pPr>
        <w:pStyle w:val="null3"/>
        <w:ind w:firstLine="480"/>
        <w:jc w:val="both"/>
      </w:pPr>
      <w:r>
        <w:rPr>
          <w:sz w:val="24"/>
        </w:rPr>
        <w:t>3.1 样本类型</w:t>
      </w:r>
    </w:p>
    <w:p>
      <w:pPr>
        <w:pStyle w:val="null3"/>
        <w:jc w:val="both"/>
      </w:pPr>
      <w:r>
        <w:rPr>
          <w:sz w:val="24"/>
        </w:rPr>
        <w:t xml:space="preserve">    </w:t>
      </w:r>
      <w:r>
        <w:rPr>
          <w:sz w:val="24"/>
        </w:rPr>
        <w:t>能够满足血清、血浆、房水、脑脊液、胸水、尿液、组织细胞裂解液和穿刺液等各种生物样本；总量大于</w:t>
      </w:r>
      <w:r>
        <w:rPr>
          <w:sz w:val="24"/>
        </w:rPr>
        <w:t>50uL，并进行质量检测，若质控不合格，需通过电话或者紧急邮件的形式通知</w:t>
      </w:r>
      <w:r>
        <w:rPr>
          <w:sz w:val="24"/>
        </w:rPr>
        <w:t>甲</w:t>
      </w:r>
      <w:r>
        <w:rPr>
          <w:sz w:val="24"/>
        </w:rPr>
        <w:t>方补送样本进行重新质检。</w:t>
      </w:r>
    </w:p>
    <w:p>
      <w:pPr>
        <w:pStyle w:val="null3"/>
        <w:ind w:firstLine="480"/>
        <w:jc w:val="both"/>
      </w:pPr>
      <w:r>
        <w:rPr>
          <w:sz w:val="24"/>
        </w:rPr>
        <w:t>3.2 实验方法</w:t>
      </w:r>
    </w:p>
    <w:p>
      <w:pPr>
        <w:pStyle w:val="null3"/>
        <w:ind w:firstLine="480"/>
        <w:jc w:val="both"/>
      </w:pPr>
      <w:r>
        <w:rPr>
          <w:sz w:val="24"/>
        </w:rPr>
        <w:t>利用</w:t>
      </w:r>
      <w:r>
        <w:rPr>
          <w:sz w:val="24"/>
        </w:rPr>
        <w:t>Olink核心专利技术PEA技术进行蛋白质检测，每个样本一次可检5000余种蛋白，利用自动化操作平台（Dragonfly、Mosquito和Eppendorf epMotion5075t）进行文库构建，Qubit仪器测定浓度，并用Agilent 4200 Bioanalyzer测定片段浓度及长度，然后利用Illumina NovaSeq 6000测序仪进行文库测序，并使用NPX Manager software软件对下机数据进行分析。</w:t>
      </w:r>
    </w:p>
    <w:p>
      <w:pPr>
        <w:pStyle w:val="null3"/>
        <w:ind w:firstLine="480"/>
        <w:jc w:val="both"/>
      </w:pPr>
      <w:r>
        <w:rPr>
          <w:sz w:val="24"/>
        </w:rPr>
        <w:t>3.3 检测周期</w:t>
      </w:r>
    </w:p>
    <w:p>
      <w:pPr>
        <w:pStyle w:val="null3"/>
        <w:ind w:firstLine="480"/>
        <w:jc w:val="both"/>
      </w:pPr>
      <w:r>
        <w:rPr>
          <w:sz w:val="24"/>
        </w:rPr>
        <w:t>乙方负责收取样品及运输，在取得</w:t>
      </w:r>
      <w:r>
        <w:rPr>
          <w:sz w:val="24"/>
        </w:rPr>
        <w:t>样品</w:t>
      </w:r>
      <w:r>
        <w:rPr>
          <w:sz w:val="24"/>
        </w:rPr>
        <w:t>并确认样品质控合格</w:t>
      </w:r>
      <w:r>
        <w:rPr>
          <w:sz w:val="24"/>
        </w:rPr>
        <w:t>后</w:t>
      </w:r>
      <w:r>
        <w:rPr>
          <w:sz w:val="24"/>
        </w:rPr>
        <w:t>10个工作日内完成所有检测。</w:t>
      </w:r>
    </w:p>
    <w:p>
      <w:pPr>
        <w:pStyle w:val="null3"/>
        <w:ind w:firstLine="480"/>
        <w:jc w:val="both"/>
      </w:pPr>
      <w:r>
        <w:rPr>
          <w:sz w:val="24"/>
        </w:rPr>
        <w:t>3.4 仪器平台</w:t>
      </w:r>
    </w:p>
    <w:p>
      <w:pPr>
        <w:pStyle w:val="null3"/>
        <w:ind w:firstLine="480"/>
        <w:jc w:val="both"/>
      </w:pPr>
      <w:r>
        <w:rPr>
          <w:sz w:val="24"/>
        </w:rPr>
        <w:t>具备</w:t>
      </w:r>
      <w:r>
        <w:rPr>
          <w:sz w:val="24"/>
        </w:rPr>
        <w:t>Dragonfly、Mosquito、和Eppendorf epMotion5075t自动化操作平台，以及Illumina NovaSeq 6000测序仪。</w:t>
      </w:r>
    </w:p>
    <w:p>
      <w:pPr>
        <w:pStyle w:val="null3"/>
        <w:ind w:firstLine="480"/>
        <w:jc w:val="both"/>
      </w:pPr>
      <w:r>
        <w:rPr>
          <w:sz w:val="24"/>
        </w:rPr>
        <w:t>3.5 技术要求：</w:t>
      </w:r>
    </w:p>
    <w:p>
      <w:pPr>
        <w:pStyle w:val="null3"/>
        <w:ind w:firstLine="480"/>
        <w:jc w:val="both"/>
      </w:pPr>
      <w:r>
        <w:rPr>
          <w:sz w:val="24"/>
        </w:rPr>
        <w:t>（</w:t>
      </w:r>
      <w:r>
        <w:rPr>
          <w:sz w:val="24"/>
        </w:rPr>
        <w:t>1）灵敏度：目标蛋白检测灵敏度可以低至fg/mL水平。可以在组学水平上检测疾病相关的成百上千种低丰度蛋白，尤其是血清、血浆、房水、脑脊液、胸水、尿液等各种体液样本。</w:t>
      </w:r>
    </w:p>
    <w:p>
      <w:pPr>
        <w:pStyle w:val="null3"/>
        <w:ind w:firstLine="480"/>
        <w:jc w:val="both"/>
      </w:pPr>
      <w:r>
        <w:rPr>
          <w:sz w:val="24"/>
        </w:rPr>
        <w:t>（</w:t>
      </w:r>
      <w:r>
        <w:rPr>
          <w:sz w:val="24"/>
        </w:rPr>
        <w:t>2）特异性：基于质控设计和充分验证，所有数据具备组学水平的高特异性，每一个目标蛋白都有明确的靶向生物标志物。</w:t>
      </w:r>
    </w:p>
    <w:p>
      <w:pPr>
        <w:pStyle w:val="null3"/>
        <w:ind w:firstLine="480"/>
        <w:jc w:val="both"/>
      </w:pPr>
      <w:r>
        <w:rPr>
          <w:sz w:val="24"/>
        </w:rPr>
        <w:t>（</w:t>
      </w:r>
      <w:r>
        <w:rPr>
          <w:sz w:val="24"/>
        </w:rPr>
        <w:t>3）重复性：完整的自动化设备研发平台提供了高质量、稳定、高效的服务，使用成熟的高通量技术作为检测手段，重复性好，数据质量高，适合大样本量检测需求。</w:t>
      </w:r>
    </w:p>
    <w:p>
      <w:pPr>
        <w:pStyle w:val="null3"/>
        <w:ind w:firstLine="480"/>
        <w:jc w:val="both"/>
      </w:pPr>
      <w:r>
        <w:rPr>
          <w:sz w:val="24"/>
        </w:rPr>
        <w:t>（</w:t>
      </w:r>
      <w:r>
        <w:rPr>
          <w:sz w:val="24"/>
        </w:rPr>
        <w:t>4）检测限：检测范围横跨10个log值，满足不同丰度的蛋白标记物。</w:t>
      </w:r>
    </w:p>
    <w:p>
      <w:pPr>
        <w:pStyle w:val="null3"/>
        <w:ind w:firstLine="480"/>
        <w:jc w:val="both"/>
      </w:pPr>
      <w:r>
        <w:rPr>
          <w:sz w:val="24"/>
        </w:rPr>
        <w:t>（</w:t>
      </w:r>
      <w:r>
        <w:rPr>
          <w:sz w:val="24"/>
        </w:rPr>
        <w:t>5）质控：样本检测过程中需要加入对照样本来保证结果准确性。</w:t>
      </w:r>
    </w:p>
    <w:p>
      <w:pPr>
        <w:pStyle w:val="null3"/>
        <w:ind w:firstLine="480"/>
        <w:jc w:val="both"/>
      </w:pPr>
      <w:r>
        <w:rPr>
          <w:sz w:val="24"/>
        </w:rPr>
        <w:t>3.6 数据验收标准：</w:t>
      </w:r>
    </w:p>
    <w:p>
      <w:pPr>
        <w:pStyle w:val="null3"/>
        <w:ind w:firstLine="480"/>
        <w:jc w:val="both"/>
      </w:pPr>
      <w:r>
        <w:rPr>
          <w:sz w:val="24"/>
        </w:rPr>
        <w:t>（</w:t>
      </w:r>
      <w:r>
        <w:rPr>
          <w:sz w:val="24"/>
        </w:rPr>
        <w:t>1） 下机数据中匹配到每个样本的平均count数≥500;</w:t>
      </w:r>
    </w:p>
    <w:p>
      <w:pPr>
        <w:pStyle w:val="null3"/>
        <w:ind w:firstLine="480"/>
        <w:jc w:val="both"/>
      </w:pPr>
      <w:r>
        <w:rPr>
          <w:sz w:val="24"/>
        </w:rPr>
        <w:t>（</w:t>
      </w:r>
      <w:r>
        <w:rPr>
          <w:sz w:val="24"/>
        </w:rPr>
        <w:t>2） Negative control的板中值和一个设定值的偏差≤5个标准偏差。</w:t>
      </w:r>
    </w:p>
    <w:p>
      <w:pPr>
        <w:pStyle w:val="null3"/>
        <w:ind w:firstLine="480"/>
        <w:jc w:val="both"/>
      </w:pPr>
      <w:r>
        <w:rPr>
          <w:sz w:val="24"/>
        </w:rPr>
        <w:t>3.7 数据交付：交付所有测序原始数据，质控结果以及NPX分析结果；同时要求达到以下分析内容：</w:t>
      </w:r>
    </w:p>
    <w:p>
      <w:pPr>
        <w:pStyle w:val="null3"/>
        <w:ind w:firstLine="480"/>
        <w:jc w:val="both"/>
      </w:pPr>
      <w:r>
        <w:rPr>
          <w:sz w:val="24"/>
        </w:rPr>
        <w:t>（</w:t>
      </w:r>
      <w:r>
        <w:rPr>
          <w:sz w:val="24"/>
        </w:rPr>
        <w:t>1</w:t>
      </w:r>
      <w:r>
        <w:rPr>
          <w:sz w:val="24"/>
        </w:rPr>
        <w:t>）</w:t>
      </w:r>
      <w:r>
        <w:rPr>
          <w:sz w:val="24"/>
        </w:rPr>
        <w:t>原始数据质量控制：</w:t>
      </w:r>
      <w:r>
        <w:rPr>
          <w:sz w:val="24"/>
        </w:rPr>
        <w:t>1）NPX 样本分布箱线图，2）蛋白 NPX 值聚类热图，3）样本主成分析，4）数据标准化（多个NPX DATA）；</w:t>
      </w:r>
    </w:p>
    <w:p>
      <w:pPr>
        <w:pStyle w:val="null3"/>
        <w:ind w:firstLine="480"/>
        <w:jc w:val="both"/>
      </w:pPr>
      <w:r>
        <w:rPr>
          <w:sz w:val="24"/>
        </w:rPr>
        <w:t>（</w:t>
      </w:r>
      <w:r>
        <w:rPr>
          <w:sz w:val="24"/>
        </w:rPr>
        <w:t>2</w:t>
      </w:r>
      <w:r>
        <w:rPr>
          <w:sz w:val="24"/>
        </w:rPr>
        <w:t>）</w:t>
      </w:r>
      <w:r>
        <w:rPr>
          <w:sz w:val="24"/>
        </w:rPr>
        <w:t>蛋白表达定量：</w:t>
      </w:r>
      <w:r>
        <w:rPr>
          <w:sz w:val="24"/>
        </w:rPr>
        <w:t>1）蛋白表达定量数据总表，2）蛋白表达值 NPX 聚类热图，3）Panel蛋白 NPX 相关性系数热图，4）目标蛋白 NPX 值箱线图。</w:t>
      </w:r>
    </w:p>
    <w:p>
      <w:pPr>
        <w:pStyle w:val="null3"/>
        <w:jc w:val="both"/>
      </w:pPr>
      <w:r>
        <w:rPr>
          <w:sz w:val="24"/>
          <w:b/>
        </w:rPr>
        <w:t>五</w:t>
      </w:r>
      <w:r>
        <w:rPr>
          <w:sz w:val="24"/>
          <w:b/>
        </w:rPr>
        <w:t>、验收要求</w:t>
      </w:r>
    </w:p>
    <w:p>
      <w:pPr>
        <w:pStyle w:val="null3"/>
        <w:ind w:firstLine="480"/>
      </w:pPr>
      <w:r>
        <w:rPr>
          <w:sz w:val="24"/>
        </w:rPr>
        <w:t>1.按照技术、服务、安全标准组织对乙方履约情况进行验收（根据合同实际情况做具体要求）。</w:t>
      </w:r>
    </w:p>
    <w:p>
      <w:pPr>
        <w:pStyle w:val="null3"/>
        <w:ind w:firstLine="480"/>
        <w:jc w:val="both"/>
      </w:pPr>
      <w:r>
        <w:rPr>
          <w:sz w:val="24"/>
        </w:rPr>
        <w:t>2.</w:t>
      </w:r>
      <w:r>
        <w:rPr>
          <w:sz w:val="24"/>
        </w:rPr>
        <w:t>检测服务应符合本项目招标文件具体技术（参数）要求的</w:t>
      </w:r>
      <w:r>
        <w:rPr>
          <w:sz w:val="24"/>
        </w:rPr>
        <w:t>“数据验收标准”。</w:t>
      </w:r>
    </w:p>
    <w:p>
      <w:pPr>
        <w:pStyle w:val="null3"/>
        <w:jc w:val="both"/>
      </w:pPr>
      <w:r>
        <w:rPr>
          <w:sz w:val="24"/>
          <w:b/>
        </w:rPr>
        <w:t>六</w:t>
      </w:r>
      <w:r>
        <w:rPr>
          <w:sz w:val="24"/>
          <w:b/>
        </w:rPr>
        <w:t>、项目培训及售后服务要求：</w:t>
      </w:r>
    </w:p>
    <w:p>
      <w:pPr>
        <w:pStyle w:val="null3"/>
        <w:ind w:firstLine="480"/>
        <w:jc w:val="both"/>
      </w:pPr>
      <w:r>
        <w:rPr>
          <w:sz w:val="24"/>
        </w:rPr>
        <w:t>1.乙方可以根据甲方需求提供优质的售后服务，及时响应并解决整个项目过程出现的问题；设有客服专线电话，处理相关的日常咨询及售后服务工作。具有完善管理制度和服务流程以保障上门服务及时有效性，并定期选派专业技术人员提供售后服务。</w:t>
      </w:r>
    </w:p>
    <w:p>
      <w:pPr>
        <w:pStyle w:val="null3"/>
        <w:ind w:firstLine="480"/>
        <w:jc w:val="both"/>
      </w:pPr>
      <w:r>
        <w:rPr>
          <w:sz w:val="24"/>
        </w:rPr>
        <w:t>2.提供Olink技术原理、实验流程、分析软件使用等相关培训。</w:t>
      </w:r>
    </w:p>
    <w:p>
      <w:pPr>
        <w:pStyle w:val="null3"/>
        <w:jc w:val="both"/>
      </w:pPr>
      <w:r>
        <w:rPr>
          <w:sz w:val="24"/>
          <w:b/>
        </w:rPr>
        <w:t>七</w:t>
      </w:r>
      <w:r>
        <w:rPr>
          <w:sz w:val="24"/>
          <w:b/>
        </w:rPr>
        <w:t>、付款方式</w:t>
      </w:r>
    </w:p>
    <w:p>
      <w:pPr>
        <w:pStyle w:val="null3"/>
        <w:ind w:firstLine="480"/>
        <w:jc w:val="both"/>
      </w:pPr>
      <w:r>
        <w:rPr>
          <w:sz w:val="24"/>
        </w:rPr>
        <w:t>1.本项目合同的款项以人民币支付，支付的时间和金额如下：</w:t>
      </w:r>
    </w:p>
    <w:p>
      <w:pPr>
        <w:pStyle w:val="null3"/>
        <w:ind w:firstLine="480"/>
        <w:jc w:val="both"/>
      </w:pPr>
      <w:r>
        <w:rPr>
          <w:sz w:val="24"/>
        </w:rPr>
        <w:t>项目完成后</w:t>
      </w:r>
      <w:r>
        <w:rPr>
          <w:sz w:val="24"/>
        </w:rPr>
        <w:t>10个工作日内一次性支付。</w:t>
      </w:r>
    </w:p>
    <w:p>
      <w:pPr>
        <w:pStyle w:val="null3"/>
        <w:ind w:firstLine="480"/>
        <w:jc w:val="both"/>
      </w:pPr>
      <w:r>
        <w:rPr>
          <w:sz w:val="24"/>
        </w:rPr>
        <w:t>2.付款要求：</w:t>
      </w:r>
    </w:p>
    <w:p>
      <w:pPr>
        <w:pStyle w:val="null3"/>
        <w:ind w:firstLine="480"/>
        <w:jc w:val="both"/>
      </w:pPr>
      <w:r>
        <w:rPr>
          <w:sz w:val="24"/>
        </w:rPr>
        <w:t>2.1 乙方须凭合法等额有效的依法纳税的发票向甲方申请结算，否则甲方有权相应延缓付款时间并无须承担逾期付款责任。</w:t>
      </w:r>
    </w:p>
    <w:p>
      <w:pPr>
        <w:pStyle w:val="null3"/>
        <w:ind w:firstLine="480"/>
        <w:jc w:val="both"/>
      </w:pPr>
      <w:r>
        <w:rPr>
          <w:sz w:val="24"/>
        </w:rPr>
        <w:t>2.2 收款方、出具发票方均必须与合同乙方一致。</w:t>
      </w:r>
    </w:p>
    <w:p>
      <w:pPr>
        <w:pStyle w:val="null3"/>
        <w:ind w:firstLine="480"/>
        <w:jc w:val="both"/>
      </w:pPr>
      <w:r>
        <w:rPr>
          <w:sz w:val="24"/>
        </w:rPr>
        <w:t>3.鉴于甲方使用的是财政资金，如遇上级财政部门结算原因导致甲方延迟付款的，不视为甲方违约。甲方向上级财政部门提出结算支付申请手续的时间即为上述资金支付时间，在约定时间内提出的即视为甲方已按期支付。</w:t>
      </w:r>
    </w:p>
    <w:p>
      <w:pPr>
        <w:pStyle w:val="null3"/>
        <w:jc w:val="both"/>
      </w:pPr>
      <w:r>
        <w:rPr>
          <w:sz w:val="24"/>
          <w:b/>
        </w:rPr>
        <w:t>八</w:t>
      </w:r>
      <w:r>
        <w:rPr>
          <w:sz w:val="24"/>
          <w:b/>
        </w:rPr>
        <w:t>、不可抗力</w:t>
      </w:r>
    </w:p>
    <w:p>
      <w:pPr>
        <w:pStyle w:val="null3"/>
        <w:ind w:firstLine="480"/>
        <w:jc w:val="left"/>
      </w:pPr>
      <w:r>
        <w:rPr>
          <w:sz w:val="24"/>
        </w:rPr>
        <w:t>1.不可抗力指战争、严重火灾、洪水、台风、地震等或其它双方认定的客观的、不能</w:t>
      </w:r>
    </w:p>
    <w:p>
      <w:pPr>
        <w:pStyle w:val="null3"/>
        <w:jc w:val="left"/>
      </w:pPr>
      <w:r>
        <w:rPr>
          <w:sz w:val="24"/>
        </w:rPr>
        <w:t>克服避免的不可抗力事件。</w:t>
      </w:r>
    </w:p>
    <w:p>
      <w:pPr>
        <w:pStyle w:val="null3"/>
        <w:ind w:firstLine="480"/>
        <w:jc w:val="left"/>
      </w:pPr>
      <w:r>
        <w:rPr>
          <w:sz w:val="24"/>
        </w:rPr>
        <w:t>2.签约双方中任何一方由于不可抗力影响合同执行时，发生不可抗力一方应尽快通知另一方。在此情况下，乙方仍然有责任采取必要的措施解决供货相关问题，双方应通过友好协商妥善解决合同执行问题。</w:t>
      </w:r>
    </w:p>
    <w:p>
      <w:pPr>
        <w:pStyle w:val="null3"/>
        <w:jc w:val="both"/>
      </w:pPr>
      <w:r>
        <w:rPr>
          <w:sz w:val="24"/>
          <w:b/>
        </w:rPr>
        <w:t>九</w:t>
      </w:r>
      <w:r>
        <w:rPr>
          <w:sz w:val="24"/>
          <w:b/>
        </w:rPr>
        <w:t>、违约与处罚</w:t>
      </w:r>
    </w:p>
    <w:p>
      <w:pPr>
        <w:pStyle w:val="null3"/>
        <w:ind w:firstLine="480"/>
      </w:pPr>
      <w:r>
        <w:rPr>
          <w:sz w:val="24"/>
        </w:rPr>
        <w:t>1.</w:t>
      </w:r>
      <w:r>
        <w:rPr>
          <w:sz w:val="24"/>
        </w:rPr>
        <w:t>乙方</w:t>
      </w:r>
      <w:r>
        <w:rPr>
          <w:sz w:val="24"/>
        </w:rPr>
        <w:t>未按照合同或订单约定按期完成工作成果的，每延误一日，须向甲方支付延期交付部分服务相应金额万分之五的违约金。若乙方逾期超过</w:t>
      </w:r>
      <w:r>
        <w:rPr>
          <w:sz w:val="24"/>
        </w:rPr>
        <w:t>30日仍未完成上述工作的，则甲方有权单方面解除本合同或订单，并有权要求乙方承担因此给甲方造成的直接经济损失。</w:t>
      </w:r>
    </w:p>
    <w:p>
      <w:pPr>
        <w:pStyle w:val="null3"/>
        <w:ind w:firstLine="480"/>
      </w:pPr>
      <w:r>
        <w:rPr>
          <w:sz w:val="24"/>
        </w:rPr>
        <w:t>2.</w:t>
      </w:r>
      <w:r>
        <w:rPr>
          <w:sz w:val="24"/>
        </w:rPr>
        <w:t>因乙方自身的原因丢失或损坏、污染甲方提供的技术资料、技术数据、文件和其它物品的，乙方负责重做的所有费用。</w:t>
      </w:r>
    </w:p>
    <w:p>
      <w:pPr>
        <w:pStyle w:val="null3"/>
        <w:ind w:firstLine="480"/>
        <w:jc w:val="both"/>
      </w:pPr>
      <w:r>
        <w:rPr>
          <w:sz w:val="24"/>
        </w:rPr>
        <w:t>3.乙方不履行保密义务，应承担由此而造成的一切直接损失。</w:t>
      </w:r>
    </w:p>
    <w:p>
      <w:pPr>
        <w:pStyle w:val="null3"/>
        <w:ind w:firstLine="480"/>
        <w:jc w:val="both"/>
      </w:pPr>
      <w:r>
        <w:rPr>
          <w:sz w:val="24"/>
        </w:rPr>
        <w:t>4.</w:t>
      </w:r>
      <w:r>
        <w:rPr>
          <w:sz w:val="24"/>
        </w:rPr>
        <w:t>其它违约责任按《中华人民共和国民法典》处理。</w:t>
      </w:r>
    </w:p>
    <w:p>
      <w:pPr>
        <w:pStyle w:val="null3"/>
        <w:jc w:val="both"/>
      </w:pPr>
      <w:r>
        <w:rPr>
          <w:sz w:val="24"/>
          <w:b/>
        </w:rPr>
        <w:t>十</w:t>
      </w:r>
      <w:r>
        <w:rPr>
          <w:sz w:val="24"/>
          <w:b/>
        </w:rPr>
        <w:t>、合同终止</w:t>
      </w:r>
    </w:p>
    <w:p>
      <w:pPr>
        <w:pStyle w:val="null3"/>
        <w:ind w:firstLine="480"/>
        <w:jc w:val="both"/>
      </w:pPr>
      <w:r>
        <w:rPr>
          <w:sz w:val="24"/>
        </w:rPr>
        <w:t>如果一方严重违反合同，并在收到对方违约通知书后在</w:t>
      </w:r>
      <w:r>
        <w:rPr>
          <w:sz w:val="24"/>
        </w:rPr>
        <w:t>30天内仍未能改正违约的，另一方可立即终止本合同。</w:t>
      </w:r>
    </w:p>
    <w:p>
      <w:pPr>
        <w:pStyle w:val="null3"/>
        <w:jc w:val="both"/>
      </w:pPr>
      <w:r>
        <w:rPr>
          <w:sz w:val="24"/>
          <w:b/>
        </w:rPr>
        <w:t>十</w:t>
      </w:r>
      <w:r>
        <w:rPr>
          <w:sz w:val="24"/>
          <w:b/>
        </w:rPr>
        <w:t>一</w:t>
      </w:r>
      <w:r>
        <w:rPr>
          <w:sz w:val="24"/>
          <w:b/>
        </w:rPr>
        <w:t>、通知送达</w:t>
      </w:r>
    </w:p>
    <w:p>
      <w:pPr>
        <w:pStyle w:val="null3"/>
        <w:ind w:firstLine="480"/>
        <w:jc w:val="both"/>
      </w:pPr>
      <w:r>
        <w:rPr>
          <w:sz w:val="24"/>
        </w:rPr>
        <w:t>乙方送达联系人：</w:t>
      </w:r>
      <w:r>
        <w:rPr>
          <w:sz w:val="21"/>
          <w:u w:val="single"/>
        </w:rPr>
        <w:t xml:space="preserve">      </w:t>
      </w:r>
      <w:r>
        <w:rPr>
          <w:sz w:val="24"/>
        </w:rPr>
        <w:t xml:space="preserve"> </w:t>
      </w:r>
      <w:r>
        <w:rPr>
          <w:sz w:val="24"/>
        </w:rPr>
        <w:t>，联系方式：</w:t>
      </w:r>
      <w:r>
        <w:rPr>
          <w:sz w:val="21"/>
          <w:u w:val="single"/>
        </w:rPr>
        <w:t xml:space="preserve">       </w:t>
      </w:r>
      <w:r>
        <w:rPr>
          <w:sz w:val="24"/>
        </w:rPr>
        <w:t>（电话</w:t>
      </w:r>
      <w:r>
        <w:rPr>
          <w:sz w:val="24"/>
        </w:rPr>
        <w:t>/电邮），送达地址：</w:t>
      </w:r>
      <w:r>
        <w:rPr>
          <w:sz w:val="21"/>
          <w:u w:val="single"/>
        </w:rPr>
        <w:t xml:space="preserve">        </w:t>
      </w:r>
      <w:r>
        <w:rPr>
          <w:sz w:val="24"/>
        </w:rPr>
        <w:t>，</w:t>
      </w:r>
    </w:p>
    <w:p>
      <w:pPr>
        <w:pStyle w:val="null3"/>
        <w:jc w:val="both"/>
      </w:pPr>
      <w:r>
        <w:rPr>
          <w:sz w:val="24"/>
        </w:rPr>
        <w:t>甲方按本地址通知即视为送达乙方；如乙方送达联系人、联系方式及地址发生变更，乙方应于变更前</w:t>
      </w:r>
      <w:r>
        <w:rPr>
          <w:sz w:val="21"/>
          <w:u w:val="single"/>
        </w:rPr>
        <w:t xml:space="preserve">   </w:t>
      </w:r>
      <w:r>
        <w:rPr>
          <w:sz w:val="24"/>
        </w:rPr>
        <w:t>日内书面通知甲方，否则，由乙方承担所有法律后果。</w:t>
      </w:r>
    </w:p>
    <w:p>
      <w:pPr>
        <w:pStyle w:val="null3"/>
        <w:jc w:val="both"/>
      </w:pPr>
      <w:r>
        <w:rPr>
          <w:sz w:val="24"/>
          <w:b/>
        </w:rPr>
        <w:t>十</w:t>
      </w:r>
      <w:r>
        <w:rPr>
          <w:sz w:val="24"/>
          <w:b/>
        </w:rPr>
        <w:t>二</w:t>
      </w:r>
      <w:r>
        <w:rPr>
          <w:sz w:val="24"/>
          <w:b/>
        </w:rPr>
        <w:t>、法律诉讼</w:t>
      </w:r>
    </w:p>
    <w:p>
      <w:pPr>
        <w:pStyle w:val="null3"/>
        <w:ind w:firstLine="480"/>
        <w:jc w:val="both"/>
      </w:pPr>
      <w:r>
        <w:rPr>
          <w:sz w:val="24"/>
        </w:rPr>
        <w:t>签约双方在履约中发生争执和分歧，双方应通过友好协商解决。若经协商不能达成协议，则向甲方所在地人民法院提起诉讼。受理期间，双方应继续执行合同其余部分。</w:t>
      </w:r>
    </w:p>
    <w:p>
      <w:pPr>
        <w:pStyle w:val="null3"/>
        <w:jc w:val="both"/>
      </w:pPr>
      <w:r>
        <w:rPr>
          <w:sz w:val="24"/>
          <w:b/>
        </w:rPr>
        <w:t>十</w:t>
      </w:r>
      <w:r>
        <w:rPr>
          <w:sz w:val="24"/>
          <w:b/>
        </w:rPr>
        <w:t>三</w:t>
      </w:r>
      <w:r>
        <w:rPr>
          <w:sz w:val="24"/>
          <w:b/>
        </w:rPr>
        <w:t>、其他</w:t>
      </w:r>
    </w:p>
    <w:p>
      <w:pPr>
        <w:pStyle w:val="null3"/>
        <w:ind w:firstLine="480"/>
        <w:jc w:val="both"/>
      </w:pPr>
      <w:r>
        <w:rPr>
          <w:sz w:val="24"/>
        </w:rPr>
        <w:t>1.本合同正本九份，具有同等法律效力，甲方执七份，乙方执一份，招标代理机构一份，合同自双方签名盖章之日起即时生效。</w:t>
      </w:r>
    </w:p>
    <w:p>
      <w:pPr>
        <w:pStyle w:val="null3"/>
        <w:ind w:firstLine="480"/>
        <w:jc w:val="both"/>
      </w:pPr>
      <w:r>
        <w:rPr>
          <w:sz w:val="24"/>
        </w:rPr>
        <w:t>2.本合同</w:t>
      </w:r>
      <w:r>
        <w:rPr>
          <w:sz w:val="24"/>
        </w:rPr>
        <w:t>未</w:t>
      </w:r>
      <w:r>
        <w:rPr>
          <w:sz w:val="24"/>
        </w:rPr>
        <w:t>尽事宜，由双方协商处理。</w:t>
      </w:r>
    </w:p>
    <w:p>
      <w:pPr>
        <w:pStyle w:val="null3"/>
        <w:jc w:val="left"/>
      </w:pPr>
      <w:r>
        <w:rPr>
          <w:sz w:val="24"/>
        </w:rPr>
        <w:t>甲方：</w:t>
      </w:r>
      <w:r>
        <w:rPr>
          <w:sz w:val="24"/>
        </w:rPr>
        <w:t xml:space="preserve">  </w:t>
      </w:r>
      <w:r>
        <w:rPr>
          <w:sz w:val="24"/>
        </w:rPr>
        <w:t>广州医科大学</w:t>
      </w:r>
      <w:r>
        <w:rPr>
          <w:sz w:val="24"/>
        </w:rPr>
        <w:t xml:space="preserve">                       </w:t>
      </w:r>
      <w:r>
        <w:rPr>
          <w:sz w:val="24"/>
        </w:rPr>
        <w:t>乙方：</w:t>
      </w:r>
      <w:r>
        <w:rPr>
          <w:sz w:val="21"/>
          <w:u w:val="single"/>
        </w:rPr>
        <w:t xml:space="preserve">                </w:t>
      </w:r>
    </w:p>
    <w:p>
      <w:pPr>
        <w:pStyle w:val="null3"/>
        <w:jc w:val="left"/>
      </w:pPr>
      <w:r>
        <w:rPr>
          <w:sz w:val="24"/>
        </w:rPr>
        <w:t>法定代表人：</w:t>
      </w:r>
      <w:r>
        <w:rPr>
          <w:sz w:val="24"/>
        </w:rPr>
        <w:t xml:space="preserve">     </w:t>
      </w:r>
      <w:r>
        <w:rPr>
          <w:sz w:val="24"/>
        </w:rPr>
        <w:t>法定代表人（需填写）：</w:t>
      </w:r>
    </w:p>
    <w:p>
      <w:pPr>
        <w:pStyle w:val="null3"/>
        <w:jc w:val="left"/>
      </w:pPr>
      <w:r>
        <w:rPr>
          <w:sz w:val="24"/>
        </w:rPr>
        <w:t>签约代表</w:t>
      </w:r>
      <w:r>
        <w:rPr>
          <w:sz w:val="24"/>
        </w:rPr>
        <w:t>：</w:t>
      </w:r>
      <w:r>
        <w:rPr>
          <w:sz w:val="24"/>
        </w:rPr>
        <w:t xml:space="preserve">                         </w:t>
      </w:r>
      <w:r>
        <w:rPr>
          <w:sz w:val="24"/>
        </w:rPr>
        <w:t xml:space="preserve"> </w:t>
      </w:r>
      <w:r>
        <w:rPr>
          <w:sz w:val="24"/>
        </w:rPr>
        <w:t>签约代表：</w:t>
      </w:r>
    </w:p>
    <w:p>
      <w:pPr>
        <w:pStyle w:val="null3"/>
        <w:jc w:val="left"/>
      </w:pPr>
      <w:r>
        <w:rPr>
          <w:sz w:val="24"/>
        </w:rPr>
        <w:t>地址：</w:t>
      </w:r>
      <w:r>
        <w:rPr>
          <w:sz w:val="24"/>
        </w:rPr>
        <w:t xml:space="preserve">                                     </w:t>
      </w:r>
      <w:r>
        <w:rPr>
          <w:sz w:val="24"/>
        </w:rPr>
        <w:t>地址：</w:t>
      </w:r>
    </w:p>
    <w:p>
      <w:pPr>
        <w:pStyle w:val="null3"/>
        <w:jc w:val="left"/>
      </w:pPr>
      <w:r>
        <w:rPr>
          <w:sz w:val="24"/>
        </w:rPr>
        <w:t>电话：</w:t>
      </w:r>
      <w:r>
        <w:rPr>
          <w:sz w:val="24"/>
        </w:rPr>
        <w:t xml:space="preserve">                                </w:t>
      </w:r>
      <w:r>
        <w:rPr>
          <w:sz w:val="24"/>
        </w:rPr>
        <w:t>电话：</w:t>
      </w:r>
    </w:p>
    <w:p>
      <w:pPr>
        <w:pStyle w:val="null3"/>
        <w:jc w:val="left"/>
      </w:pPr>
      <w:r>
        <w:rPr>
          <w:sz w:val="24"/>
        </w:rPr>
        <w:t>传真</w:t>
      </w:r>
      <w:r>
        <w:rPr>
          <w:sz w:val="24"/>
        </w:rPr>
        <w:t>:</w:t>
      </w:r>
      <w:r>
        <w:rPr>
          <w:sz w:val="21"/>
        </w:rPr>
        <w:t xml:space="preserve">                                </w:t>
      </w:r>
      <w:r>
        <w:rPr>
          <w:sz w:val="24"/>
        </w:rPr>
        <w:t xml:space="preserve"> </w:t>
      </w:r>
      <w:r>
        <w:rPr>
          <w:sz w:val="24"/>
        </w:rPr>
        <w:t>传真</w:t>
      </w:r>
      <w:r>
        <w:rPr>
          <w:sz w:val="24"/>
        </w:rPr>
        <w:t>:</w:t>
      </w:r>
    </w:p>
    <w:p>
      <w:pPr>
        <w:pStyle w:val="null3"/>
        <w:jc w:val="left"/>
      </w:pPr>
      <w:r>
        <w:rPr>
          <w:sz w:val="24"/>
        </w:rPr>
        <w:t>签约日期：</w:t>
      </w:r>
      <w:r>
        <w:rPr>
          <w:sz w:val="24"/>
        </w:rPr>
        <w:t xml:space="preserve">2022年    月    日     </w:t>
      </w:r>
      <w:r>
        <w:rPr>
          <w:sz w:val="21"/>
        </w:rPr>
        <w:t xml:space="preserve">       </w:t>
      </w:r>
      <w:r>
        <w:rPr>
          <w:sz w:val="24"/>
        </w:rPr>
        <w:t xml:space="preserve"> </w:t>
      </w:r>
      <w:r>
        <w:rPr>
          <w:sz w:val="24"/>
        </w:rPr>
        <w:t>签约日期：</w:t>
      </w:r>
      <w:r>
        <w:rPr>
          <w:sz w:val="24"/>
        </w:rPr>
        <w:t>2022年    月     日</w:t>
      </w:r>
    </w:p>
    <w:p>
      <w:pPr>
        <w:pStyle w:val="null3"/>
        <w:jc w:val="left"/>
      </w:pPr>
      <w:r>
        <w:rPr>
          <w:sz w:val="24"/>
        </w:rPr>
        <w:t>签约地点：</w:t>
      </w:r>
    </w:p>
    <w:p>
      <w:pPr>
        <w:pStyle w:val="null3"/>
        <w:jc w:val="left"/>
      </w:pPr>
      <w:r>
        <w:rPr>
          <w:sz w:val="24"/>
        </w:rPr>
        <w:t>开户银行：</w:t>
      </w:r>
      <w:r>
        <w:rPr>
          <w:sz w:val="24"/>
        </w:rPr>
        <w:t xml:space="preserve">        </w:t>
      </w:r>
      <w:r>
        <w:rPr>
          <w:sz w:val="24"/>
        </w:rPr>
        <w:t>开户银行：</w:t>
      </w:r>
    </w:p>
    <w:p>
      <w:pPr>
        <w:pStyle w:val="null3"/>
        <w:jc w:val="left"/>
      </w:pPr>
      <w:r>
        <w:rPr>
          <w:sz w:val="24"/>
        </w:rPr>
        <w:t>账号：</w:t>
      </w:r>
      <w:r>
        <w:rPr>
          <w:sz w:val="24"/>
        </w:rPr>
        <w:t xml:space="preserve">        </w:t>
      </w:r>
      <w:r>
        <w:rPr>
          <w:sz w:val="24"/>
        </w:rPr>
        <w:t>账号：</w:t>
      </w:r>
    </w:p>
    <w:p>
      <w:pPr>
        <w:pStyle w:val="null3"/>
        <w:jc w:val="left"/>
      </w:pPr>
      <w:r>
        <w:rPr>
          <w:sz w:val="24"/>
        </w:rPr>
        <w:t xml:space="preserve">                                           </w:t>
      </w:r>
      <w:r>
        <w:rPr>
          <w:sz w:val="24"/>
        </w:rPr>
        <w:t>纳税人识别号：</w:t>
      </w:r>
    </w:p>
    <w:p>
      <w:pPr>
        <w:pStyle w:val="null3"/>
        <w:jc w:val="left"/>
      </w:pPr>
      <w:r>
        <w:rPr/>
        <w:t xml:space="preserve"> </w:t>
      </w:r>
    </w:p>
    <w:p>
      <w:pPr>
        <w:pStyle w:val="null3"/>
        <w:jc w:val="center"/>
      </w:pPr>
      <w:r>
        <w:rPr>
          <w:sz w:val="32"/>
        </w:rPr>
        <w:t>广州医科大学采购招标廉洁协议</w:t>
      </w:r>
    </w:p>
    <w:p>
      <w:pPr>
        <w:pStyle w:val="null3"/>
        <w:jc w:val="both"/>
      </w:pPr>
      <w:r>
        <w:rPr>
          <w:sz w:val="24"/>
        </w:rPr>
        <w:t>甲方：广州医科大学</w:t>
      </w:r>
    </w:p>
    <w:p>
      <w:pPr>
        <w:pStyle w:val="null3"/>
        <w:ind w:firstLine="480"/>
        <w:jc w:val="both"/>
      </w:pPr>
      <w:r>
        <w:rPr>
          <w:sz w:val="24"/>
        </w:rPr>
        <w:t>乙方：</w:t>
      </w:r>
      <w:r>
        <w:rPr>
          <w:sz w:val="21"/>
          <w:u w:val="single"/>
        </w:rPr>
        <w:t xml:space="preserve">          </w:t>
      </w:r>
      <w:r>
        <w:rPr>
          <w:sz w:val="21"/>
          <w:u w:val="single"/>
        </w:rPr>
        <w:t xml:space="preserve">             </w:t>
      </w:r>
    </w:p>
    <w:p>
      <w:pPr>
        <w:pStyle w:val="null3"/>
        <w:ind w:firstLine="420"/>
        <w:jc w:val="both"/>
      </w:pPr>
      <w:r>
        <w:rPr>
          <w:sz w:val="21"/>
        </w:rPr>
        <w:t>为加强学校廉政建设，促进学校与企业廉洁合作，有效防范商业贿赂行为。经甲、乙双方协商，同意签订本协议，并共同遵守。</w:t>
      </w:r>
    </w:p>
    <w:p>
      <w:pPr>
        <w:pStyle w:val="null3"/>
        <w:ind w:firstLine="422"/>
        <w:jc w:val="both"/>
      </w:pPr>
      <w:r>
        <w:rPr>
          <w:sz w:val="21"/>
          <w:b/>
        </w:rPr>
        <w:t>一、甲方责任和廉洁要求</w:t>
      </w:r>
    </w:p>
    <w:p>
      <w:pPr>
        <w:pStyle w:val="null3"/>
        <w:ind w:firstLine="420"/>
        <w:jc w:val="both"/>
      </w:pPr>
      <w:r>
        <w:rPr>
          <w:sz w:val="21"/>
        </w:rPr>
        <w:t>甲方在招标、遴选、议标、合同签订、合同履约、合同付款、合同结算等过程中，要遵守以下廉洁约定：</w:t>
      </w:r>
    </w:p>
    <w:p>
      <w:pPr>
        <w:pStyle w:val="null3"/>
        <w:ind w:firstLine="420"/>
        <w:jc w:val="both"/>
      </w:pPr>
      <w:r>
        <w:rPr>
          <w:sz w:val="21"/>
        </w:rPr>
        <w:t>1.甲方在进行上述业务活动过程中，应严格遵守国家法律法规、行业纪律和学校规章制度，严格执行双方确定的合同、协议和承诺；</w:t>
      </w:r>
    </w:p>
    <w:p>
      <w:pPr>
        <w:pStyle w:val="null3"/>
        <w:ind w:firstLine="420"/>
        <w:jc w:val="both"/>
      </w:pPr>
      <w:r>
        <w:rPr>
          <w:sz w:val="21"/>
        </w:rPr>
        <w:t>2.甲方的人员在进行上述活动，如与乙方存在利益关联或者亲属关系的，应主动向业务主管部门报告，申请回避；</w:t>
      </w:r>
    </w:p>
    <w:p>
      <w:pPr>
        <w:pStyle w:val="null3"/>
        <w:ind w:firstLine="420"/>
        <w:jc w:val="both"/>
      </w:pPr>
      <w:r>
        <w:rPr>
          <w:sz w:val="21"/>
        </w:rPr>
        <w:t>3.甲方的人员必须严格执行廉洁自律各项规定，不得向乙方索要任何形式的个人利益，不得收受乙方赠送的礼品、礼金和有价证券，不得接受乙方宴请、免费旅游、房屋装修、出国留学或其它财产性利益；</w:t>
      </w:r>
    </w:p>
    <w:p>
      <w:pPr>
        <w:pStyle w:val="null3"/>
        <w:ind w:firstLine="420"/>
        <w:jc w:val="both"/>
      </w:pPr>
      <w:r>
        <w:rPr>
          <w:sz w:val="21"/>
        </w:rPr>
        <w:t>4.甲方应向乙方介绍本单位的有关廉政建设的各项制度和规定，有权对乙方在业务活动中保持廉洁的情况实行监督，如发现乙方的人员有不廉洁行为，应及时采取措施，终止其不廉洁行为的继续发生。</w:t>
      </w:r>
    </w:p>
    <w:p>
      <w:pPr>
        <w:pStyle w:val="null3"/>
        <w:ind w:firstLine="422"/>
        <w:jc w:val="both"/>
      </w:pPr>
      <w:r>
        <w:rPr>
          <w:sz w:val="21"/>
          <w:b/>
        </w:rPr>
        <w:t>二、乙方责任和廉洁要求</w:t>
      </w:r>
    </w:p>
    <w:p>
      <w:pPr>
        <w:pStyle w:val="null3"/>
        <w:ind w:firstLine="420"/>
        <w:jc w:val="both"/>
      </w:pPr>
      <w:r>
        <w:rPr>
          <w:sz w:val="21"/>
        </w:rPr>
        <w:t>1.乙方加强对应标项目工作的乙方人员的廉洁教育，主动如实向甲方报告是否与甲方的员工存在利益关联或亲属关系的情况；</w:t>
      </w:r>
    </w:p>
    <w:p>
      <w:pPr>
        <w:pStyle w:val="null3"/>
        <w:ind w:firstLine="420"/>
        <w:jc w:val="both"/>
      </w:pPr>
      <w:r>
        <w:rPr>
          <w:sz w:val="21"/>
        </w:rPr>
        <w:t>2.业务活动坚持“公开、公正、诚信、透明”原则，乙方不得与甲方的人员就业务事项进行私下商谈或者达成默契，不得与其他单位串通投标，不得采取不正当手段竞争业务；</w:t>
      </w:r>
    </w:p>
    <w:p>
      <w:pPr>
        <w:pStyle w:val="null3"/>
        <w:ind w:firstLine="420"/>
        <w:jc w:val="both"/>
      </w:pPr>
      <w:r>
        <w:rPr>
          <w:sz w:val="21"/>
        </w:rPr>
        <w:t>3.乙方承诺杜绝实施商业贿赂行为，不以任何名义宴请采购人的人员及其亲属，或为甲方的人员及其亲属提供娱乐服务、免费旅游、房屋装修、出国留学或其它财产性利益，或赠送礼品、礼金及有价证券等，不以任何其他方式为甲方的人员及其亲属赠送、提供其他未列举的任何形式的好处与利益；</w:t>
      </w:r>
    </w:p>
    <w:p>
      <w:pPr>
        <w:pStyle w:val="null3"/>
        <w:ind w:firstLine="420"/>
        <w:jc w:val="both"/>
      </w:pPr>
      <w:r>
        <w:rPr>
          <w:sz w:val="21"/>
        </w:rPr>
        <w:t>4.乙方在业务活动过程中发现甲方的人员有不廉洁的行为，须及时采取措施，终止其不廉洁行为的继续发生。</w:t>
      </w:r>
    </w:p>
    <w:p>
      <w:pPr>
        <w:pStyle w:val="null3"/>
        <w:ind w:firstLine="422"/>
        <w:jc w:val="both"/>
      </w:pPr>
      <w:r>
        <w:rPr>
          <w:sz w:val="21"/>
          <w:b/>
        </w:rPr>
        <w:t>三、违约的处理</w:t>
      </w:r>
    </w:p>
    <w:p>
      <w:pPr>
        <w:pStyle w:val="null3"/>
        <w:ind w:firstLine="420"/>
        <w:jc w:val="both"/>
      </w:pPr>
      <w:r>
        <w:rPr>
          <w:sz w:val="21"/>
        </w:rPr>
        <w:t>1.甲乙双方如违反上述协议任何一条，被发现或被投诉，一经查实，即构成违约。如甲方违约，按管理权限，依据有关规定，给予党纪、政纪或组织处理；如乙方违约，甲方有权立即终止与乙方的所有项目合同和其他一切业务，并由乙方赔偿甲方因此造成的损失以及发生的一切费用；涉嫌犯罪的，移交司法机关处理。</w:t>
      </w:r>
    </w:p>
    <w:p>
      <w:pPr>
        <w:pStyle w:val="null3"/>
        <w:ind w:firstLine="420"/>
        <w:jc w:val="both"/>
      </w:pPr>
      <w:r>
        <w:rPr>
          <w:sz w:val="21"/>
        </w:rPr>
        <w:t>2.如乙方被政府部门列入商业贿赂不良记录，则严格按照《中华人民共和国反不正当竞争法》相关规定处理。</w:t>
      </w:r>
    </w:p>
    <w:p>
      <w:pPr>
        <w:pStyle w:val="null3"/>
        <w:ind w:firstLine="422"/>
        <w:jc w:val="both"/>
      </w:pPr>
      <w:r>
        <w:rPr>
          <w:sz w:val="21"/>
          <w:b/>
        </w:rPr>
        <w:t>四、</w:t>
      </w:r>
      <w:r>
        <w:rPr>
          <w:sz w:val="21"/>
        </w:rPr>
        <w:t>本协议作为甲乙双方业务合同的重要组成部分，与业务合同一并执行，具有同等法律效力。</w:t>
      </w:r>
    </w:p>
    <w:p>
      <w:pPr>
        <w:pStyle w:val="null3"/>
        <w:ind w:firstLine="422"/>
        <w:jc w:val="both"/>
      </w:pPr>
      <w:r>
        <w:rPr>
          <w:sz w:val="21"/>
          <w:b/>
        </w:rPr>
        <w:t>五、</w:t>
      </w:r>
      <w:r>
        <w:rPr>
          <w:sz w:val="21"/>
        </w:rPr>
        <w:t>本协议一式两份，甲、乙双方各执一份，并从签订之日起生效。</w:t>
      </w:r>
    </w:p>
    <w:p>
      <w:pPr>
        <w:pStyle w:val="null3"/>
        <w:jc w:val="both"/>
      </w:pPr>
      <w:r>
        <w:rPr>
          <w:sz w:val="21"/>
        </w:rPr>
        <w:t>甲方（盖章）：</w:t>
      </w:r>
      <w:r>
        <w:rPr>
          <w:sz w:val="21"/>
        </w:rPr>
        <w:t xml:space="preserve">                                 </w:t>
      </w:r>
      <w:r>
        <w:rPr>
          <w:sz w:val="21"/>
        </w:rPr>
        <w:t>乙方（盖章）：</w:t>
      </w:r>
    </w:p>
    <w:p>
      <w:pPr>
        <w:pStyle w:val="null3"/>
        <w:ind w:firstLine="420"/>
        <w:jc w:val="both"/>
      </w:pPr>
      <w:r>
        <w:rPr>
          <w:sz w:val="21"/>
        </w:rPr>
        <w:t>法人代表（负责人）：</w:t>
      </w:r>
      <w:r>
        <w:rPr>
          <w:sz w:val="21"/>
        </w:rPr>
        <w:t xml:space="preserve">                           </w:t>
      </w:r>
      <w:r>
        <w:rPr>
          <w:sz w:val="21"/>
        </w:rPr>
        <w:t>法人代表（负责人）：</w:t>
      </w:r>
    </w:p>
    <w:p>
      <w:pPr>
        <w:pStyle w:val="null3"/>
        <w:ind w:firstLine="420"/>
        <w:jc w:val="both"/>
      </w:pPr>
      <w:r>
        <w:rPr>
          <w:sz w:val="21"/>
        </w:rPr>
        <w:t>授权代表</w:t>
      </w:r>
      <w:r>
        <w:rPr>
          <w:sz w:val="21"/>
        </w:rPr>
        <w:t>签名：</w:t>
      </w:r>
      <w:r>
        <w:rPr>
          <w:sz w:val="21"/>
        </w:rPr>
        <w:t xml:space="preserve">                                  </w:t>
      </w:r>
      <w:r>
        <w:rPr>
          <w:sz w:val="21"/>
        </w:rPr>
        <w:t>授权代表</w:t>
      </w:r>
      <w:r>
        <w:rPr>
          <w:sz w:val="21"/>
        </w:rPr>
        <w:t>签名：</w:t>
      </w:r>
    </w:p>
    <w:p>
      <w:pPr>
        <w:pStyle w:val="null3"/>
        <w:ind w:firstLine="420"/>
        <w:jc w:val="both"/>
      </w:pP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ind w:firstLine="420"/>
        <w:jc w:val="both"/>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440101-2024-20589</w:t>
      </w:r>
    </w:p>
    <w:p>
      <w:pPr>
        <w:pStyle w:val="null3"/>
        <w:jc w:val="center"/>
        <w:outlineLvl w:val="3"/>
      </w:pPr>
      <w:r>
        <w:rPr>
          <w:sz w:val="24"/>
          <w:b/>
        </w:rPr>
        <w:t>采购项目编号：</w:t>
      </w:r>
      <w:r>
        <w:rPr>
          <w:sz w:val="24"/>
          <w:b/>
        </w:rPr>
        <w:t>3587-2412GZG30701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广东信诚招标代理咨询有限公司</w:t>
      </w:r>
    </w:p>
    <w:p>
      <w:pPr>
        <w:pStyle w:val="null3"/>
        <w:ind w:firstLine="480"/>
      </w:pPr>
      <w:r>
        <w:rPr/>
        <w:t xml:space="preserve"> 你方组织的</w:t>
      </w:r>
      <w:r>
        <w:rPr>
          <w:u w:val="single"/>
        </w:rPr>
        <w:t>“</w:t>
      </w:r>
      <w:r>
        <w:rPr>
          <w:u w:val="single"/>
        </w:rPr>
        <w:t>广医大2024年公共卫生学院蛋白组学检测服务采购项目</w:t>
      </w:r>
      <w:r>
        <w:rPr>
          <w:u w:val="single"/>
        </w:rPr>
        <w:t>”</w:t>
      </w:r>
      <w:r>
        <w:rPr/>
        <w:t>项目的招标[采购项目编号为：</w:t>
      </w:r>
      <w:r>
        <w:rPr>
          <w:u w:val="single"/>
        </w:rPr>
        <w:t>3587-2412GZG30701</w:t>
      </w:r>
      <w:r>
        <w:rPr/>
        <w:t>]，我方愿参与投标。</w:t>
      </w:r>
    </w:p>
    <w:p>
      <w:pPr>
        <w:pStyle w:val="null3"/>
        <w:ind w:firstLine="480"/>
      </w:pPr>
      <w:r>
        <w:rPr/>
        <w:t>我方确认收到贵方提供的</w:t>
      </w:r>
      <w:r>
        <w:rPr>
          <w:u w:val="single"/>
        </w:rPr>
        <w:t>“</w:t>
      </w:r>
      <w:r>
        <w:rPr>
          <w:u w:val="single"/>
        </w:rPr>
        <w:t>广医大2024年公共卫生学院蛋白组学检测服务采购项目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广医大2024年公共卫生学院蛋白组学检测服务采购项目</w:t>
      </w:r>
      <w:r>
        <w:rPr/>
        <w:t>”项目采购[采购项目编号为</w:t>
      </w:r>
      <w:r>
        <w:rPr/>
        <w:t>3587-2412GZG30701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广州医科大学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广东信诚招标代理咨询有限公司</w:t>
      </w:r>
    </w:p>
    <w:p>
      <w:pPr>
        <w:pStyle w:val="null3"/>
        <w:ind w:firstLine="480"/>
      </w:pPr>
      <w:r>
        <w:rPr/>
        <w:t xml:space="preserve"> 如果我方在贵采购代理机构组织的</w:t>
      </w:r>
      <w:r>
        <w:rPr/>
        <w:t>广医大2024年公共卫生学院蛋白组学检测服务采购项目</w:t>
      </w:r>
      <w:r>
        <w:rPr/>
        <w:t>招标中获中标（采购项目编号：</w:t>
      </w:r>
      <w:r>
        <w:rPr/>
        <w:t>3587-2412GZG30701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广东信诚招标代理咨询有限公司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